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59" w:lineRule="auto" w:before="81"/>
        <w:ind w:right="87"/>
      </w:pPr>
      <w:r>
        <w:rPr>
          <w:b/>
        </w:rPr>
        <w:t>Host Location</w:t>
      </w:r>
      <w:r>
        <w:rPr/>
        <w:t>: Fellow location could be flexible but possibilities include either the Washington Department</w:t>
      </w:r>
      <w:r>
        <w:rPr>
          <w:spacing w:val="-4"/>
        </w:rPr>
        <w:t> </w:t>
      </w:r>
      <w:r>
        <w:rPr/>
        <w:t>of</w:t>
      </w:r>
      <w:r>
        <w:rPr>
          <w:spacing w:val="-4"/>
        </w:rPr>
        <w:t> </w:t>
      </w:r>
      <w:r>
        <w:rPr/>
        <w:t>Fish</w:t>
      </w:r>
      <w:r>
        <w:rPr>
          <w:spacing w:val="-4"/>
        </w:rPr>
        <w:t> </w:t>
      </w:r>
      <w:r>
        <w:rPr/>
        <w:t>and</w:t>
      </w:r>
      <w:r>
        <w:rPr>
          <w:spacing w:val="-4"/>
        </w:rPr>
        <w:t> </w:t>
      </w:r>
      <w:r>
        <w:rPr/>
        <w:t>Wildlife</w:t>
      </w:r>
      <w:r>
        <w:rPr>
          <w:spacing w:val="-4"/>
        </w:rPr>
        <w:t> </w:t>
      </w:r>
      <w:r>
        <w:rPr/>
        <w:t>Port</w:t>
      </w:r>
      <w:r>
        <w:rPr>
          <w:spacing w:val="-4"/>
        </w:rPr>
        <w:t> </w:t>
      </w:r>
      <w:r>
        <w:rPr/>
        <w:t>Townsend</w:t>
      </w:r>
      <w:r>
        <w:rPr>
          <w:spacing w:val="-4"/>
        </w:rPr>
        <w:t> </w:t>
      </w:r>
      <w:r>
        <w:rPr/>
        <w:t>office,</w:t>
      </w:r>
      <w:r>
        <w:rPr>
          <w:spacing w:val="-4"/>
        </w:rPr>
        <w:t> </w:t>
      </w:r>
      <w:r>
        <w:rPr/>
        <w:t>the</w:t>
      </w:r>
      <w:r>
        <w:rPr>
          <w:spacing w:val="-4"/>
        </w:rPr>
        <w:t> </w:t>
      </w:r>
      <w:r>
        <w:rPr/>
        <w:t>Northwest</w:t>
      </w:r>
      <w:r>
        <w:rPr>
          <w:spacing w:val="-4"/>
        </w:rPr>
        <w:t> </w:t>
      </w:r>
      <w:r>
        <w:rPr/>
        <w:t>Indian</w:t>
      </w:r>
      <w:r>
        <w:rPr>
          <w:spacing w:val="-4"/>
        </w:rPr>
        <w:t> </w:t>
      </w:r>
      <w:r>
        <w:rPr/>
        <w:t>Fisheries</w:t>
      </w:r>
      <w:r>
        <w:rPr>
          <w:spacing w:val="-4"/>
        </w:rPr>
        <w:t> </w:t>
      </w:r>
      <w:r>
        <w:rPr/>
        <w:t>Commission Olympia office, or other partner office locations.</w:t>
      </w:r>
    </w:p>
    <w:p>
      <w:pPr>
        <w:pStyle w:val="BodyText"/>
        <w:spacing w:before="23"/>
      </w:pPr>
    </w:p>
    <w:p>
      <w:pPr>
        <w:pStyle w:val="BodyText"/>
        <w:spacing w:line="256" w:lineRule="auto"/>
        <w:ind w:right="87"/>
      </w:pPr>
      <w:r>
        <w:rPr>
          <w:b/>
        </w:rPr>
        <w:t>Host</w:t>
      </w:r>
      <w:r>
        <w:rPr>
          <w:b/>
          <w:spacing w:val="-4"/>
        </w:rPr>
        <w:t> </w:t>
      </w:r>
      <w:r>
        <w:rPr>
          <w:b/>
        </w:rPr>
        <w:t>Contact</w:t>
      </w:r>
      <w:r>
        <w:rPr>
          <w:b/>
          <w:spacing w:val="-4"/>
        </w:rPr>
        <w:t> </w:t>
      </w:r>
      <w:r>
        <w:rPr>
          <w:b/>
        </w:rPr>
        <w:t>Information</w:t>
      </w:r>
      <w:r>
        <w:rPr/>
        <w:t>:</w:t>
      </w:r>
      <w:r>
        <w:rPr>
          <w:spacing w:val="-4"/>
        </w:rPr>
        <w:t> </w:t>
      </w:r>
      <w:r>
        <w:rPr/>
        <w:t>Julie</w:t>
      </w:r>
      <w:r>
        <w:rPr>
          <w:spacing w:val="-4"/>
        </w:rPr>
        <w:t> </w:t>
      </w:r>
      <w:r>
        <w:rPr/>
        <w:t>S.</w:t>
      </w:r>
      <w:r>
        <w:rPr>
          <w:spacing w:val="-4"/>
        </w:rPr>
        <w:t> </w:t>
      </w:r>
      <w:r>
        <w:rPr/>
        <w:t>Barber,</w:t>
      </w:r>
      <w:r>
        <w:rPr>
          <w:spacing w:val="-4"/>
        </w:rPr>
        <w:t> </w:t>
      </w:r>
      <w:r>
        <w:rPr/>
        <w:t>Senior</w:t>
      </w:r>
      <w:r>
        <w:rPr>
          <w:spacing w:val="-4"/>
        </w:rPr>
        <w:t> </w:t>
      </w:r>
      <w:r>
        <w:rPr/>
        <w:t>Shellfish</w:t>
      </w:r>
      <w:r>
        <w:rPr>
          <w:spacing w:val="-4"/>
        </w:rPr>
        <w:t> </w:t>
      </w:r>
      <w:r>
        <w:rPr/>
        <w:t>Biologist,</w:t>
      </w:r>
      <w:r>
        <w:rPr>
          <w:spacing w:val="-4"/>
        </w:rPr>
        <w:t> </w:t>
      </w:r>
      <w:r>
        <w:rPr/>
        <w:t>Swinomish</w:t>
      </w:r>
      <w:r>
        <w:rPr>
          <w:spacing w:val="-4"/>
        </w:rPr>
        <w:t> </w:t>
      </w:r>
      <w:r>
        <w:rPr/>
        <w:t>Fisheries</w:t>
      </w:r>
      <w:r>
        <w:rPr>
          <w:spacing w:val="-4"/>
        </w:rPr>
        <w:t> </w:t>
      </w:r>
      <w:r>
        <w:rPr/>
        <w:t>Department, PO Box 368, 11426 Moorage Way, La Conner, WA 98257</w:t>
      </w:r>
    </w:p>
    <w:p>
      <w:pPr>
        <w:pStyle w:val="BodyText"/>
        <w:spacing w:before="26"/>
      </w:pPr>
    </w:p>
    <w:p>
      <w:pPr>
        <w:pStyle w:val="Heading1"/>
      </w:pPr>
      <w:r>
        <w:rPr/>
        <w:t>Position</w:t>
      </w:r>
      <w:r>
        <w:rPr>
          <w:spacing w:val="-8"/>
        </w:rPr>
        <w:t> </w:t>
      </w:r>
      <w:r>
        <w:rPr>
          <w:spacing w:val="-2"/>
        </w:rPr>
        <w:t>Description:</w:t>
      </w:r>
    </w:p>
    <w:p>
      <w:pPr>
        <w:pStyle w:val="BodyText"/>
        <w:spacing w:line="259" w:lineRule="auto" w:before="19"/>
        <w:ind w:right="17"/>
      </w:pPr>
      <w:r>
        <w:rPr/>
        <w:t>The mission statement of the recently formed Pacific Northwest Crab Research Group (PNWCRG) is to promote sustainable Dungeness crab populations in the Pacific Northwest. The PNWCRG consists of individuals representing researchers and managers from western Washington tribes, state and federal agencies, non-profits, and major universities. The initial goals of the PNWCRG are to: (1) collaborate to monitor and forecast crab populations to achieve sustainable fisheries in waters of the Pacific Northwest; (2) collaborate to better understand and sustain the ecological role of crab in waters of the Pacific Northwest and; (3) collaborate where monitoring methods produce information addressing multiple critical data gaps. The fellow would serve as the first program coordinator for the PNWCRG, formalizing the structure of our group and organizing our research and communication efforts; this will eventually</w:t>
      </w:r>
      <w:r>
        <w:rPr>
          <w:spacing w:val="-4"/>
        </w:rPr>
        <w:t> </w:t>
      </w:r>
      <w:r>
        <w:rPr/>
        <w:t>lead</w:t>
      </w:r>
      <w:r>
        <w:rPr>
          <w:spacing w:val="-4"/>
        </w:rPr>
        <w:t> </w:t>
      </w:r>
      <w:r>
        <w:rPr/>
        <w:t>to</w:t>
      </w:r>
      <w:r>
        <w:rPr>
          <w:spacing w:val="-4"/>
        </w:rPr>
        <w:t> </w:t>
      </w:r>
      <w:r>
        <w:rPr/>
        <w:t>improved</w:t>
      </w:r>
      <w:r>
        <w:rPr>
          <w:spacing w:val="-4"/>
        </w:rPr>
        <w:t> </w:t>
      </w:r>
      <w:r>
        <w:rPr/>
        <w:t>management</w:t>
      </w:r>
      <w:r>
        <w:rPr>
          <w:spacing w:val="-4"/>
        </w:rPr>
        <w:t> </w:t>
      </w:r>
      <w:r>
        <w:rPr/>
        <w:t>and</w:t>
      </w:r>
      <w:r>
        <w:rPr>
          <w:spacing w:val="-4"/>
        </w:rPr>
        <w:t> </w:t>
      </w:r>
      <w:r>
        <w:rPr/>
        <w:t>standardization</w:t>
      </w:r>
      <w:r>
        <w:rPr>
          <w:spacing w:val="-4"/>
        </w:rPr>
        <w:t> </w:t>
      </w:r>
      <w:r>
        <w:rPr/>
        <w:t>of</w:t>
      </w:r>
      <w:r>
        <w:rPr>
          <w:spacing w:val="-4"/>
        </w:rPr>
        <w:t> </w:t>
      </w:r>
      <w:r>
        <w:rPr/>
        <w:t>Dungeness</w:t>
      </w:r>
      <w:r>
        <w:rPr>
          <w:spacing w:val="-4"/>
        </w:rPr>
        <w:t> </w:t>
      </w:r>
      <w:r>
        <w:rPr/>
        <w:t>crab</w:t>
      </w:r>
      <w:r>
        <w:rPr>
          <w:spacing w:val="-4"/>
        </w:rPr>
        <w:t> </w:t>
      </w:r>
      <w:r>
        <w:rPr/>
        <w:t>research.</w:t>
      </w:r>
      <w:r>
        <w:rPr>
          <w:spacing w:val="-6"/>
        </w:rPr>
        <w:t> </w:t>
      </w:r>
      <w:r>
        <w:rPr/>
        <w:t>Coordinated PNWCRG programs that are already underway include a statewide larval crab light trap study and the initial efforts of a ventless (escape-rings closed) trap survey for juvenile and subadult crab.</w:t>
      </w:r>
    </w:p>
    <w:p>
      <w:pPr>
        <w:pStyle w:val="BodyText"/>
        <w:spacing w:before="19"/>
      </w:pPr>
    </w:p>
    <w:p>
      <w:pPr>
        <w:pStyle w:val="BodyText"/>
      </w:pPr>
      <w:r>
        <w:rPr/>
        <w:t>Specifically,</w:t>
      </w:r>
      <w:r>
        <w:rPr>
          <w:spacing w:val="-7"/>
        </w:rPr>
        <w:t> </w:t>
      </w:r>
      <w:r>
        <w:rPr/>
        <w:t>the</w:t>
      </w:r>
      <w:r>
        <w:rPr>
          <w:spacing w:val="-7"/>
        </w:rPr>
        <w:t> </w:t>
      </w:r>
      <w:r>
        <w:rPr/>
        <w:t>fellow</w:t>
      </w:r>
      <w:r>
        <w:rPr>
          <w:spacing w:val="-7"/>
        </w:rPr>
        <w:t> </w:t>
      </w:r>
      <w:r>
        <w:rPr/>
        <w:t>would</w:t>
      </w:r>
      <w:r>
        <w:rPr>
          <w:spacing w:val="-6"/>
        </w:rPr>
        <w:t> </w:t>
      </w:r>
      <w:r>
        <w:rPr/>
        <w:t>be</w:t>
      </w:r>
      <w:r>
        <w:rPr>
          <w:spacing w:val="-7"/>
        </w:rPr>
        <w:t> </w:t>
      </w:r>
      <w:r>
        <w:rPr/>
        <w:t>responsible</w:t>
      </w:r>
      <w:r>
        <w:rPr>
          <w:spacing w:val="-6"/>
        </w:rPr>
        <w:t> </w:t>
      </w:r>
      <w:r>
        <w:rPr/>
        <w:t>for</w:t>
      </w:r>
      <w:r>
        <w:rPr>
          <w:spacing w:val="-7"/>
        </w:rPr>
        <w:t> </w:t>
      </w:r>
      <w:r>
        <w:rPr/>
        <w:t>completing</w:t>
      </w:r>
      <w:r>
        <w:rPr>
          <w:spacing w:val="-6"/>
        </w:rPr>
        <w:t> </w:t>
      </w:r>
      <w:r>
        <w:rPr/>
        <w:t>the</w:t>
      </w:r>
      <w:r>
        <w:rPr>
          <w:spacing w:val="-7"/>
        </w:rPr>
        <w:t> </w:t>
      </w:r>
      <w:r>
        <w:rPr/>
        <w:t>following</w:t>
      </w:r>
      <w:r>
        <w:rPr>
          <w:spacing w:val="-6"/>
        </w:rPr>
        <w:t> </w:t>
      </w:r>
      <w:r>
        <w:rPr>
          <w:spacing w:val="-2"/>
        </w:rPr>
        <w:t>tasks:</w:t>
      </w:r>
    </w:p>
    <w:p>
      <w:pPr>
        <w:pStyle w:val="ListParagraph"/>
        <w:numPr>
          <w:ilvl w:val="0"/>
          <w:numId w:val="1"/>
        </w:numPr>
        <w:tabs>
          <w:tab w:pos="720" w:val="left" w:leader="none"/>
        </w:tabs>
        <w:spacing w:line="244" w:lineRule="auto" w:before="18" w:after="0"/>
        <w:ind w:left="720" w:right="192" w:hanging="360"/>
        <w:jc w:val="left"/>
        <w:rPr>
          <w:sz w:val="22"/>
        </w:rPr>
      </w:pPr>
      <w:r>
        <w:rPr>
          <w:sz w:val="22"/>
        </w:rPr>
        <w:t>Writing</w:t>
      </w:r>
      <w:r>
        <w:rPr>
          <w:spacing w:val="-4"/>
          <w:sz w:val="22"/>
        </w:rPr>
        <w:t> </w:t>
      </w:r>
      <w:r>
        <w:rPr>
          <w:sz w:val="22"/>
        </w:rPr>
        <w:t>a</w:t>
      </w:r>
      <w:r>
        <w:rPr>
          <w:spacing w:val="-4"/>
          <w:sz w:val="22"/>
        </w:rPr>
        <w:t> </w:t>
      </w:r>
      <w:r>
        <w:rPr>
          <w:sz w:val="22"/>
        </w:rPr>
        <w:t>paper</w:t>
      </w:r>
      <w:r>
        <w:rPr>
          <w:spacing w:val="-4"/>
          <w:sz w:val="22"/>
        </w:rPr>
        <w:t> </w:t>
      </w:r>
      <w:r>
        <w:rPr>
          <w:sz w:val="22"/>
        </w:rPr>
        <w:t>formalizing</w:t>
      </w:r>
      <w:r>
        <w:rPr>
          <w:spacing w:val="-4"/>
          <w:sz w:val="22"/>
        </w:rPr>
        <w:t> </w:t>
      </w:r>
      <w:r>
        <w:rPr>
          <w:sz w:val="22"/>
        </w:rPr>
        <w:t>the</w:t>
      </w:r>
      <w:r>
        <w:rPr>
          <w:spacing w:val="-4"/>
          <w:sz w:val="22"/>
        </w:rPr>
        <w:t> </w:t>
      </w:r>
      <w:r>
        <w:rPr>
          <w:sz w:val="22"/>
        </w:rPr>
        <w:t>PNWCRG’s</w:t>
      </w:r>
      <w:r>
        <w:rPr>
          <w:spacing w:val="-4"/>
          <w:sz w:val="22"/>
        </w:rPr>
        <w:t> </w:t>
      </w:r>
      <w:r>
        <w:rPr>
          <w:sz w:val="22"/>
        </w:rPr>
        <w:t>initial</w:t>
      </w:r>
      <w:r>
        <w:rPr>
          <w:spacing w:val="-4"/>
          <w:sz w:val="22"/>
        </w:rPr>
        <w:t> </w:t>
      </w:r>
      <w:r>
        <w:rPr>
          <w:sz w:val="22"/>
        </w:rPr>
        <w:t>mission,</w:t>
      </w:r>
      <w:r>
        <w:rPr>
          <w:spacing w:val="-4"/>
          <w:sz w:val="22"/>
        </w:rPr>
        <w:t> </w:t>
      </w:r>
      <w:r>
        <w:rPr>
          <w:sz w:val="22"/>
        </w:rPr>
        <w:t>goals,</w:t>
      </w:r>
      <w:r>
        <w:rPr>
          <w:spacing w:val="-4"/>
          <w:sz w:val="22"/>
        </w:rPr>
        <w:t> </w:t>
      </w:r>
      <w:r>
        <w:rPr>
          <w:sz w:val="22"/>
        </w:rPr>
        <w:t>objectives,</w:t>
      </w:r>
      <w:r>
        <w:rPr>
          <w:spacing w:val="-4"/>
          <w:sz w:val="22"/>
        </w:rPr>
        <w:t> </w:t>
      </w:r>
      <w:r>
        <w:rPr>
          <w:sz w:val="22"/>
        </w:rPr>
        <w:t>and</w:t>
      </w:r>
      <w:r>
        <w:rPr>
          <w:spacing w:val="-4"/>
          <w:sz w:val="22"/>
        </w:rPr>
        <w:t> </w:t>
      </w:r>
      <w:r>
        <w:rPr>
          <w:sz w:val="22"/>
        </w:rPr>
        <w:t>subcommittee research efforts.</w:t>
      </w:r>
    </w:p>
    <w:p>
      <w:pPr>
        <w:pStyle w:val="ListParagraph"/>
        <w:numPr>
          <w:ilvl w:val="0"/>
          <w:numId w:val="1"/>
        </w:numPr>
        <w:tabs>
          <w:tab w:pos="719" w:val="left" w:leader="none"/>
        </w:tabs>
        <w:spacing w:line="272" w:lineRule="exact" w:before="0" w:after="0"/>
        <w:ind w:left="719" w:right="0" w:hanging="359"/>
        <w:jc w:val="left"/>
        <w:rPr>
          <w:sz w:val="22"/>
        </w:rPr>
      </w:pPr>
      <w:r>
        <w:rPr>
          <w:sz w:val="22"/>
        </w:rPr>
        <w:t>Applying</w:t>
      </w:r>
      <w:r>
        <w:rPr>
          <w:spacing w:val="-6"/>
          <w:sz w:val="22"/>
        </w:rPr>
        <w:t> </w:t>
      </w:r>
      <w:r>
        <w:rPr>
          <w:sz w:val="22"/>
        </w:rPr>
        <w:t>for</w:t>
      </w:r>
      <w:r>
        <w:rPr>
          <w:spacing w:val="-6"/>
          <w:sz w:val="22"/>
        </w:rPr>
        <w:t> </w:t>
      </w:r>
      <w:r>
        <w:rPr>
          <w:sz w:val="22"/>
        </w:rPr>
        <w:t>grants</w:t>
      </w:r>
      <w:r>
        <w:rPr>
          <w:spacing w:val="-6"/>
          <w:sz w:val="22"/>
        </w:rPr>
        <w:t> </w:t>
      </w:r>
      <w:r>
        <w:rPr>
          <w:sz w:val="22"/>
        </w:rPr>
        <w:t>to</w:t>
      </w:r>
      <w:r>
        <w:rPr>
          <w:spacing w:val="-6"/>
          <w:sz w:val="22"/>
        </w:rPr>
        <w:t> </w:t>
      </w:r>
      <w:r>
        <w:rPr>
          <w:sz w:val="22"/>
        </w:rPr>
        <w:t>facilitate</w:t>
      </w:r>
      <w:r>
        <w:rPr>
          <w:spacing w:val="-6"/>
          <w:sz w:val="22"/>
        </w:rPr>
        <w:t> </w:t>
      </w:r>
      <w:r>
        <w:rPr>
          <w:sz w:val="22"/>
        </w:rPr>
        <w:t>future</w:t>
      </w:r>
      <w:r>
        <w:rPr>
          <w:spacing w:val="-6"/>
          <w:sz w:val="22"/>
        </w:rPr>
        <w:t> </w:t>
      </w:r>
      <w:r>
        <w:rPr>
          <w:sz w:val="22"/>
        </w:rPr>
        <w:t>PNWCRG</w:t>
      </w:r>
      <w:r>
        <w:rPr>
          <w:spacing w:val="-5"/>
          <w:sz w:val="22"/>
        </w:rPr>
        <w:t> </w:t>
      </w:r>
      <w:r>
        <w:rPr>
          <w:spacing w:val="-2"/>
          <w:sz w:val="22"/>
        </w:rPr>
        <w:t>studies.</w:t>
      </w:r>
    </w:p>
    <w:p>
      <w:pPr>
        <w:pStyle w:val="ListParagraph"/>
        <w:numPr>
          <w:ilvl w:val="0"/>
          <w:numId w:val="1"/>
        </w:numPr>
        <w:tabs>
          <w:tab w:pos="720" w:val="left" w:leader="none"/>
        </w:tabs>
        <w:spacing w:line="240" w:lineRule="auto" w:before="0" w:after="0"/>
        <w:ind w:left="720" w:right="190" w:hanging="360"/>
        <w:jc w:val="left"/>
        <w:rPr>
          <w:sz w:val="22"/>
        </w:rPr>
      </w:pPr>
      <w:r>
        <w:rPr>
          <w:sz w:val="22"/>
        </w:rPr>
        <w:t>Developing</w:t>
      </w:r>
      <w:r>
        <w:rPr>
          <w:spacing w:val="-4"/>
          <w:sz w:val="22"/>
        </w:rPr>
        <w:t> </w:t>
      </w:r>
      <w:r>
        <w:rPr>
          <w:sz w:val="22"/>
        </w:rPr>
        <w:t>standardized</w:t>
      </w:r>
      <w:r>
        <w:rPr>
          <w:spacing w:val="-4"/>
          <w:sz w:val="22"/>
        </w:rPr>
        <w:t> </w:t>
      </w:r>
      <w:r>
        <w:rPr>
          <w:sz w:val="22"/>
        </w:rPr>
        <w:t>protocols</w:t>
      </w:r>
      <w:r>
        <w:rPr>
          <w:spacing w:val="-4"/>
          <w:sz w:val="22"/>
        </w:rPr>
        <w:t> </w:t>
      </w:r>
      <w:r>
        <w:rPr>
          <w:sz w:val="22"/>
        </w:rPr>
        <w:t>for</w:t>
      </w:r>
      <w:r>
        <w:rPr>
          <w:spacing w:val="-4"/>
          <w:sz w:val="22"/>
        </w:rPr>
        <w:t> </w:t>
      </w:r>
      <w:r>
        <w:rPr>
          <w:sz w:val="22"/>
        </w:rPr>
        <w:t>long-term</w:t>
      </w:r>
      <w:r>
        <w:rPr>
          <w:spacing w:val="-4"/>
          <w:sz w:val="22"/>
        </w:rPr>
        <w:t> </w:t>
      </w:r>
      <w:r>
        <w:rPr>
          <w:sz w:val="22"/>
        </w:rPr>
        <w:t>data</w:t>
      </w:r>
      <w:r>
        <w:rPr>
          <w:spacing w:val="-4"/>
          <w:sz w:val="22"/>
        </w:rPr>
        <w:t> </w:t>
      </w:r>
      <w:r>
        <w:rPr>
          <w:sz w:val="22"/>
        </w:rPr>
        <w:t>collection,</w:t>
      </w:r>
      <w:r>
        <w:rPr>
          <w:spacing w:val="-4"/>
          <w:sz w:val="22"/>
        </w:rPr>
        <w:t> </w:t>
      </w:r>
      <w:r>
        <w:rPr>
          <w:sz w:val="22"/>
        </w:rPr>
        <w:t>management,</w:t>
      </w:r>
      <w:r>
        <w:rPr>
          <w:spacing w:val="-4"/>
          <w:sz w:val="22"/>
        </w:rPr>
        <w:t> </w:t>
      </w:r>
      <w:r>
        <w:rPr>
          <w:sz w:val="22"/>
        </w:rPr>
        <w:t>and</w:t>
      </w:r>
      <w:r>
        <w:rPr>
          <w:spacing w:val="-4"/>
          <w:sz w:val="22"/>
        </w:rPr>
        <w:t> </w:t>
      </w:r>
      <w:r>
        <w:rPr>
          <w:sz w:val="22"/>
        </w:rPr>
        <w:t>entry.</w:t>
      </w:r>
      <w:r>
        <w:rPr>
          <w:spacing w:val="-4"/>
          <w:sz w:val="22"/>
        </w:rPr>
        <w:t> </w:t>
      </w:r>
      <w:r>
        <w:rPr>
          <w:sz w:val="22"/>
        </w:rPr>
        <w:t>This work will include investigating data sharing agreements among PNWCRG partners.</w:t>
      </w:r>
    </w:p>
    <w:p>
      <w:pPr>
        <w:pStyle w:val="ListParagraph"/>
        <w:numPr>
          <w:ilvl w:val="0"/>
          <w:numId w:val="1"/>
        </w:numPr>
        <w:tabs>
          <w:tab w:pos="720" w:val="left" w:leader="none"/>
        </w:tabs>
        <w:spacing w:line="244" w:lineRule="auto" w:before="0" w:after="0"/>
        <w:ind w:left="720" w:right="203" w:hanging="360"/>
        <w:jc w:val="left"/>
        <w:rPr>
          <w:sz w:val="22"/>
        </w:rPr>
      </w:pPr>
      <w:r>
        <w:rPr>
          <w:sz w:val="22"/>
        </w:rPr>
        <w:t>Creating</w:t>
      </w:r>
      <w:r>
        <w:rPr>
          <w:spacing w:val="-4"/>
          <w:sz w:val="22"/>
        </w:rPr>
        <w:t> </w:t>
      </w:r>
      <w:r>
        <w:rPr>
          <w:sz w:val="22"/>
        </w:rPr>
        <w:t>educational</w:t>
      </w:r>
      <w:r>
        <w:rPr>
          <w:spacing w:val="-4"/>
          <w:sz w:val="22"/>
        </w:rPr>
        <w:t> </w:t>
      </w:r>
      <w:r>
        <w:rPr>
          <w:sz w:val="22"/>
        </w:rPr>
        <w:t>communication</w:t>
      </w:r>
      <w:r>
        <w:rPr>
          <w:spacing w:val="-4"/>
          <w:sz w:val="22"/>
        </w:rPr>
        <w:t> </w:t>
      </w:r>
      <w:r>
        <w:rPr>
          <w:sz w:val="22"/>
        </w:rPr>
        <w:t>and</w:t>
      </w:r>
      <w:r>
        <w:rPr>
          <w:spacing w:val="-4"/>
          <w:sz w:val="22"/>
        </w:rPr>
        <w:t> </w:t>
      </w:r>
      <w:r>
        <w:rPr>
          <w:sz w:val="22"/>
        </w:rPr>
        <w:t>outreach</w:t>
      </w:r>
      <w:r>
        <w:rPr>
          <w:spacing w:val="-4"/>
          <w:sz w:val="22"/>
        </w:rPr>
        <w:t> </w:t>
      </w:r>
      <w:r>
        <w:rPr>
          <w:sz w:val="22"/>
        </w:rPr>
        <w:t>packages</w:t>
      </w:r>
      <w:r>
        <w:rPr>
          <w:spacing w:val="-4"/>
          <w:sz w:val="22"/>
        </w:rPr>
        <w:t> </w:t>
      </w:r>
      <w:r>
        <w:rPr>
          <w:sz w:val="22"/>
        </w:rPr>
        <w:t>and</w:t>
      </w:r>
      <w:r>
        <w:rPr>
          <w:spacing w:val="-4"/>
          <w:sz w:val="22"/>
        </w:rPr>
        <w:t> </w:t>
      </w:r>
      <w:r>
        <w:rPr>
          <w:sz w:val="22"/>
        </w:rPr>
        <w:t>leading</w:t>
      </w:r>
      <w:r>
        <w:rPr>
          <w:spacing w:val="-4"/>
          <w:sz w:val="22"/>
        </w:rPr>
        <w:t> </w:t>
      </w:r>
      <w:r>
        <w:rPr>
          <w:sz w:val="22"/>
        </w:rPr>
        <w:t>the</w:t>
      </w:r>
      <w:r>
        <w:rPr>
          <w:spacing w:val="-4"/>
          <w:sz w:val="22"/>
        </w:rPr>
        <w:t> </w:t>
      </w:r>
      <w:r>
        <w:rPr>
          <w:sz w:val="22"/>
        </w:rPr>
        <w:t>effort</w:t>
      </w:r>
      <w:r>
        <w:rPr>
          <w:spacing w:val="-4"/>
          <w:sz w:val="22"/>
        </w:rPr>
        <w:t> </w:t>
      </w:r>
      <w:r>
        <w:rPr>
          <w:sz w:val="22"/>
        </w:rPr>
        <w:t>to</w:t>
      </w:r>
      <w:r>
        <w:rPr>
          <w:spacing w:val="-4"/>
          <w:sz w:val="22"/>
        </w:rPr>
        <w:t> </w:t>
      </w:r>
      <w:r>
        <w:rPr>
          <w:sz w:val="22"/>
        </w:rPr>
        <w:t>improve the public’s understanding of Dungeness crab.</w:t>
      </w:r>
    </w:p>
    <w:p>
      <w:pPr>
        <w:pStyle w:val="ListParagraph"/>
        <w:numPr>
          <w:ilvl w:val="0"/>
          <w:numId w:val="1"/>
        </w:numPr>
        <w:tabs>
          <w:tab w:pos="720" w:val="left" w:leader="none"/>
        </w:tabs>
        <w:spacing w:line="240" w:lineRule="auto" w:before="0" w:after="0"/>
        <w:ind w:left="720" w:right="184" w:hanging="360"/>
        <w:jc w:val="left"/>
        <w:rPr>
          <w:sz w:val="22"/>
        </w:rPr>
      </w:pPr>
      <w:r>
        <w:rPr>
          <w:sz w:val="22"/>
        </w:rPr>
        <w:t>Joining</w:t>
      </w:r>
      <w:r>
        <w:rPr>
          <w:spacing w:val="-4"/>
          <w:sz w:val="22"/>
        </w:rPr>
        <w:t> </w:t>
      </w:r>
      <w:r>
        <w:rPr>
          <w:sz w:val="22"/>
        </w:rPr>
        <w:t>regional</w:t>
      </w:r>
      <w:r>
        <w:rPr>
          <w:spacing w:val="-4"/>
          <w:sz w:val="22"/>
        </w:rPr>
        <w:t> </w:t>
      </w:r>
      <w:r>
        <w:rPr>
          <w:sz w:val="22"/>
        </w:rPr>
        <w:t>partners</w:t>
      </w:r>
      <w:r>
        <w:rPr>
          <w:spacing w:val="-4"/>
          <w:sz w:val="22"/>
        </w:rPr>
        <w:t> </w:t>
      </w:r>
      <w:r>
        <w:rPr>
          <w:sz w:val="22"/>
        </w:rPr>
        <w:t>in</w:t>
      </w:r>
      <w:r>
        <w:rPr>
          <w:spacing w:val="-4"/>
          <w:sz w:val="22"/>
        </w:rPr>
        <w:t> </w:t>
      </w:r>
      <w:r>
        <w:rPr>
          <w:sz w:val="22"/>
        </w:rPr>
        <w:t>the</w:t>
      </w:r>
      <w:r>
        <w:rPr>
          <w:spacing w:val="-4"/>
          <w:sz w:val="22"/>
        </w:rPr>
        <w:t> </w:t>
      </w:r>
      <w:r>
        <w:rPr>
          <w:sz w:val="22"/>
        </w:rPr>
        <w:t>field</w:t>
      </w:r>
      <w:r>
        <w:rPr>
          <w:spacing w:val="-4"/>
          <w:sz w:val="22"/>
        </w:rPr>
        <w:t> </w:t>
      </w:r>
      <w:r>
        <w:rPr>
          <w:sz w:val="22"/>
        </w:rPr>
        <w:t>to</w:t>
      </w:r>
      <w:r>
        <w:rPr>
          <w:spacing w:val="-6"/>
          <w:sz w:val="22"/>
        </w:rPr>
        <w:t> </w:t>
      </w:r>
      <w:r>
        <w:rPr>
          <w:sz w:val="22"/>
        </w:rPr>
        <w:t>assist</w:t>
      </w:r>
      <w:r>
        <w:rPr>
          <w:spacing w:val="-4"/>
          <w:sz w:val="22"/>
        </w:rPr>
        <w:t> </w:t>
      </w:r>
      <w:r>
        <w:rPr>
          <w:sz w:val="22"/>
        </w:rPr>
        <w:t>with</w:t>
      </w:r>
      <w:r>
        <w:rPr>
          <w:spacing w:val="-4"/>
          <w:sz w:val="22"/>
        </w:rPr>
        <w:t> </w:t>
      </w:r>
      <w:r>
        <w:rPr>
          <w:sz w:val="22"/>
        </w:rPr>
        <w:t>data</w:t>
      </w:r>
      <w:r>
        <w:rPr>
          <w:spacing w:val="-4"/>
          <w:sz w:val="22"/>
        </w:rPr>
        <w:t> </w:t>
      </w:r>
      <w:r>
        <w:rPr>
          <w:sz w:val="22"/>
        </w:rPr>
        <w:t>collection</w:t>
      </w:r>
      <w:r>
        <w:rPr>
          <w:spacing w:val="-4"/>
          <w:sz w:val="22"/>
        </w:rPr>
        <w:t> </w:t>
      </w:r>
      <w:r>
        <w:rPr>
          <w:sz w:val="22"/>
        </w:rPr>
        <w:t>and</w:t>
      </w:r>
      <w:r>
        <w:rPr>
          <w:spacing w:val="-4"/>
          <w:sz w:val="22"/>
        </w:rPr>
        <w:t> </w:t>
      </w:r>
      <w:r>
        <w:rPr>
          <w:sz w:val="22"/>
        </w:rPr>
        <w:t>ensuring</w:t>
      </w:r>
      <w:r>
        <w:rPr>
          <w:spacing w:val="-4"/>
          <w:sz w:val="22"/>
        </w:rPr>
        <w:t> </w:t>
      </w:r>
      <w:r>
        <w:rPr>
          <w:sz w:val="22"/>
        </w:rPr>
        <w:t>standardization of methods.</w:t>
      </w:r>
    </w:p>
    <w:p>
      <w:pPr>
        <w:pStyle w:val="ListParagraph"/>
        <w:numPr>
          <w:ilvl w:val="0"/>
          <w:numId w:val="1"/>
        </w:numPr>
        <w:tabs>
          <w:tab w:pos="720" w:val="left" w:leader="none"/>
        </w:tabs>
        <w:spacing w:line="240" w:lineRule="auto" w:before="0" w:after="0"/>
        <w:ind w:left="720" w:right="135" w:hanging="360"/>
        <w:jc w:val="left"/>
        <w:rPr>
          <w:sz w:val="22"/>
        </w:rPr>
      </w:pPr>
      <w:r>
        <w:rPr>
          <w:sz w:val="22"/>
        </w:rPr>
        <w:t>Serving</w:t>
      </w:r>
      <w:r>
        <w:rPr>
          <w:spacing w:val="-4"/>
          <w:sz w:val="22"/>
        </w:rPr>
        <w:t> </w:t>
      </w:r>
      <w:r>
        <w:rPr>
          <w:sz w:val="22"/>
        </w:rPr>
        <w:t>as</w:t>
      </w:r>
      <w:r>
        <w:rPr>
          <w:spacing w:val="-4"/>
          <w:sz w:val="22"/>
        </w:rPr>
        <w:t> </w:t>
      </w:r>
      <w:r>
        <w:rPr>
          <w:sz w:val="22"/>
        </w:rPr>
        <w:t>the</w:t>
      </w:r>
      <w:r>
        <w:rPr>
          <w:spacing w:val="-4"/>
          <w:sz w:val="22"/>
        </w:rPr>
        <w:t> </w:t>
      </w:r>
      <w:r>
        <w:rPr>
          <w:sz w:val="22"/>
        </w:rPr>
        <w:t>lead</w:t>
      </w:r>
      <w:r>
        <w:rPr>
          <w:spacing w:val="-4"/>
          <w:sz w:val="22"/>
        </w:rPr>
        <w:t> </w:t>
      </w:r>
      <w:r>
        <w:rPr>
          <w:sz w:val="22"/>
        </w:rPr>
        <w:t>coordinator</w:t>
      </w:r>
      <w:r>
        <w:rPr>
          <w:spacing w:val="-4"/>
          <w:sz w:val="22"/>
        </w:rPr>
        <w:t> </w:t>
      </w:r>
      <w:r>
        <w:rPr>
          <w:sz w:val="22"/>
        </w:rPr>
        <w:t>for</w:t>
      </w:r>
      <w:r>
        <w:rPr>
          <w:spacing w:val="-4"/>
          <w:sz w:val="22"/>
        </w:rPr>
        <w:t> </w:t>
      </w:r>
      <w:r>
        <w:rPr>
          <w:sz w:val="22"/>
        </w:rPr>
        <w:t>the</w:t>
      </w:r>
      <w:r>
        <w:rPr>
          <w:spacing w:val="-4"/>
          <w:sz w:val="22"/>
        </w:rPr>
        <w:t> </w:t>
      </w:r>
      <w:r>
        <w:rPr>
          <w:sz w:val="22"/>
        </w:rPr>
        <w:t>PNWCRG,</w:t>
      </w:r>
      <w:r>
        <w:rPr>
          <w:spacing w:val="-4"/>
          <w:sz w:val="22"/>
        </w:rPr>
        <w:t> </w:t>
      </w:r>
      <w:r>
        <w:rPr>
          <w:sz w:val="22"/>
        </w:rPr>
        <w:t>facilitating</w:t>
      </w:r>
      <w:r>
        <w:rPr>
          <w:spacing w:val="-4"/>
          <w:sz w:val="22"/>
        </w:rPr>
        <w:t> </w:t>
      </w:r>
      <w:r>
        <w:rPr>
          <w:sz w:val="22"/>
        </w:rPr>
        <w:t>group</w:t>
      </w:r>
      <w:r>
        <w:rPr>
          <w:spacing w:val="-4"/>
          <w:sz w:val="22"/>
        </w:rPr>
        <w:t> </w:t>
      </w:r>
      <w:r>
        <w:rPr>
          <w:sz w:val="22"/>
        </w:rPr>
        <w:t>communications,</w:t>
      </w:r>
      <w:r>
        <w:rPr>
          <w:spacing w:val="-4"/>
          <w:sz w:val="22"/>
        </w:rPr>
        <w:t> </w:t>
      </w:r>
      <w:r>
        <w:rPr>
          <w:sz w:val="22"/>
        </w:rPr>
        <w:t>organizing group and subcommittee meetings, and mediating diverse research interests.</w:t>
      </w:r>
    </w:p>
    <w:sectPr>
      <w:type w:val="continuous"/>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2026-02-28T00:39:32Z</dcterms:created>
  <dcterms:modified xsi:type="dcterms:W3CDTF">2026-02-28T00:39:32Z</dcterms:modified>
</cp:coreProperties>
</file>