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360" w:right="22" w:hanging="1"/>
        <w:jc w:val="left"/>
        <w:rPr>
          <w:sz w:val="22"/>
        </w:rPr>
      </w:pPr>
      <w:r>
        <w:rPr>
          <w:b/>
          <w:sz w:val="22"/>
        </w:rPr>
        <w:t>Coastal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Hazard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Resilience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Coordination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Collaboration</w:t>
      </w:r>
      <w:r>
        <w:rPr>
          <w:b/>
          <w:spacing w:val="-4"/>
          <w:sz w:val="22"/>
        </w:rPr>
        <w:t> </w:t>
      </w:r>
      <w:r>
        <w:rPr>
          <w:sz w:val="22"/>
        </w:rPr>
        <w:t>|</w:t>
      </w:r>
      <w:r>
        <w:rPr>
          <w:spacing w:val="-4"/>
          <w:sz w:val="22"/>
        </w:rPr>
        <w:t> </w:t>
      </w:r>
      <w:r>
        <w:rPr>
          <w:sz w:val="22"/>
        </w:rPr>
        <w:t>2019-2020</w:t>
      </w:r>
      <w:r>
        <w:rPr>
          <w:spacing w:val="-2"/>
          <w:sz w:val="22"/>
        </w:rPr>
        <w:t> </w:t>
      </w:r>
      <w:r>
        <w:rPr>
          <w:sz w:val="22"/>
        </w:rPr>
        <w:t>Washington</w:t>
      </w:r>
      <w:r>
        <w:rPr>
          <w:spacing w:val="-4"/>
          <w:sz w:val="22"/>
        </w:rPr>
        <w:t> </w:t>
      </w:r>
      <w:r>
        <w:rPr>
          <w:sz w:val="22"/>
        </w:rPr>
        <w:t>Sea</w:t>
      </w:r>
      <w:r>
        <w:rPr>
          <w:spacing w:val="-5"/>
          <w:sz w:val="22"/>
        </w:rPr>
        <w:t> </w:t>
      </w:r>
      <w:r>
        <w:rPr>
          <w:sz w:val="22"/>
        </w:rPr>
        <w:t>Grant </w:t>
      </w:r>
      <w:r>
        <w:rPr>
          <w:spacing w:val="-2"/>
          <w:sz w:val="22"/>
        </w:rPr>
        <w:t>Fellowship</w:t>
      </w:r>
    </w:p>
    <w:p>
      <w:pPr>
        <w:pStyle w:val="BodyText"/>
      </w:pPr>
    </w:p>
    <w:p>
      <w:pPr>
        <w:pStyle w:val="BodyText"/>
        <w:spacing w:before="1"/>
        <w:ind w:left="359" w:right="4461"/>
      </w:pPr>
      <w:r>
        <w:rPr/>
        <w:t>Manager: Brian Lynn, Coastal Program Manager Project</w:t>
      </w:r>
      <w:r>
        <w:rPr>
          <w:spacing w:val="-7"/>
        </w:rPr>
        <w:t> </w:t>
      </w:r>
      <w:r>
        <w:rPr/>
        <w:t>Mentor:</w:t>
      </w:r>
      <w:r>
        <w:rPr>
          <w:spacing w:val="-4"/>
        </w:rPr>
        <w:t> </w:t>
      </w:r>
      <w:r>
        <w:rPr/>
        <w:t>Bobbak</w:t>
      </w:r>
      <w:r>
        <w:rPr>
          <w:spacing w:val="-7"/>
        </w:rPr>
        <w:t> </w:t>
      </w:r>
      <w:r>
        <w:rPr/>
        <w:t>Talebi,</w:t>
      </w:r>
      <w:r>
        <w:rPr>
          <w:spacing w:val="-5"/>
        </w:rPr>
        <w:t> </w:t>
      </w:r>
      <w:r>
        <w:rPr/>
        <w:t>Senior</w:t>
      </w:r>
      <w:r>
        <w:rPr>
          <w:spacing w:val="-7"/>
        </w:rPr>
        <w:t> </w:t>
      </w:r>
      <w:r>
        <w:rPr/>
        <w:t>Coastal</w:t>
      </w:r>
      <w:r>
        <w:rPr>
          <w:spacing w:val="-8"/>
        </w:rPr>
        <w:t> </w:t>
      </w:r>
      <w:r>
        <w:rPr/>
        <w:t>Planner Washington State Department of Ecology</w:t>
      </w:r>
    </w:p>
    <w:p>
      <w:pPr>
        <w:pStyle w:val="Heading1"/>
        <w:spacing w:before="267"/>
      </w:pPr>
      <w:r>
        <w:rPr>
          <w:spacing w:val="-2"/>
        </w:rPr>
        <w:t>Overview</w:t>
      </w:r>
    </w:p>
    <w:p>
      <w:pPr>
        <w:pStyle w:val="BodyText"/>
        <w:ind w:left="359" w:right="109"/>
      </w:pPr>
      <w:r>
        <w:rPr/>
        <w:t>Washington</w:t>
      </w:r>
      <w:r>
        <w:rPr>
          <w:spacing w:val="-1"/>
        </w:rPr>
        <w:t> </w:t>
      </w:r>
      <w:r>
        <w:rPr/>
        <w:t>was the first state in the Nation to earn federal approval for its Coastal Zone Management Program</w:t>
      </w:r>
      <w:r>
        <w:rPr>
          <w:spacing w:val="-1"/>
        </w:rPr>
        <w:t> </w:t>
      </w:r>
      <w:r>
        <w:rPr/>
        <w:t>(Coastal</w:t>
      </w:r>
      <w:r>
        <w:rPr>
          <w:spacing w:val="-3"/>
        </w:rPr>
        <w:t> </w:t>
      </w:r>
      <w:r>
        <w:rPr/>
        <w:t>Program), established</w:t>
      </w:r>
      <w:r>
        <w:rPr>
          <w:spacing w:val="-3"/>
        </w:rPr>
        <w:t> </w:t>
      </w:r>
      <w:r>
        <w:rPr/>
        <w:t>under the</w:t>
      </w:r>
      <w:r>
        <w:rPr>
          <w:spacing w:val="-2"/>
        </w:rPr>
        <w:t> </w:t>
      </w:r>
      <w:r>
        <w:rPr/>
        <w:t>authority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1972</w:t>
      </w:r>
      <w:r>
        <w:rPr>
          <w:spacing w:val="-1"/>
        </w:rPr>
        <w:t> </w:t>
      </w:r>
      <w:r>
        <w:rPr/>
        <w:t>Coastal</w:t>
      </w:r>
      <w:r>
        <w:rPr>
          <w:spacing w:val="-3"/>
        </w:rPr>
        <w:t> </w:t>
      </w:r>
      <w:r>
        <w:rPr/>
        <w:t>Zone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Act (CZMA).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Coastal</w:t>
      </w:r>
      <w:r>
        <w:rPr>
          <w:spacing w:val="-2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housed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Ecology,</w:t>
      </w:r>
      <w:r>
        <w:rPr>
          <w:spacing w:val="-4"/>
        </w:rPr>
        <w:t> </w:t>
      </w:r>
      <w:r>
        <w:rPr/>
        <w:t>meets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goals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federal law through a comprehensive approach to coastal resource management. This work requires us to balance the often competing — and occasionally conflicting — demands of coastal resources use, economic development, and conservation. We partner with a range of stakeholders, agencies, local governments, academics, Tribes, and non-profits to achieve this mission. We focus our efforts on five key priorities: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46" w:after="0"/>
        <w:ind w:left="1080" w:right="0" w:hanging="360"/>
        <w:jc w:val="left"/>
        <w:rPr>
          <w:sz w:val="22"/>
        </w:rPr>
      </w:pPr>
      <w:r>
        <w:rPr>
          <w:sz w:val="22"/>
        </w:rPr>
        <w:t>Protecting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restoring</w:t>
      </w:r>
      <w:r>
        <w:rPr>
          <w:spacing w:val="-7"/>
          <w:sz w:val="22"/>
        </w:rPr>
        <w:t> </w:t>
      </w:r>
      <w:r>
        <w:rPr>
          <w:b/>
          <w:sz w:val="22"/>
        </w:rPr>
        <w:t>coastal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wetlands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Preventing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reducing</w:t>
      </w:r>
      <w:r>
        <w:rPr>
          <w:spacing w:val="-6"/>
          <w:sz w:val="22"/>
        </w:rPr>
        <w:t> </w:t>
      </w:r>
      <w:r>
        <w:rPr>
          <w:sz w:val="22"/>
        </w:rPr>
        <w:t>threats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b/>
          <w:sz w:val="22"/>
        </w:rPr>
        <w:t>coastal</w:t>
      </w:r>
      <w:r>
        <w:rPr>
          <w:b/>
          <w:spacing w:val="-2"/>
          <w:sz w:val="22"/>
        </w:rPr>
        <w:t> hazards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Attaining</w:t>
      </w:r>
      <w:r>
        <w:rPr>
          <w:spacing w:val="-6"/>
          <w:sz w:val="22"/>
        </w:rPr>
        <w:t> </w:t>
      </w:r>
      <w:r>
        <w:rPr>
          <w:sz w:val="22"/>
        </w:rPr>
        <w:t>increased</w:t>
      </w:r>
      <w:r>
        <w:rPr>
          <w:spacing w:val="-8"/>
          <w:sz w:val="22"/>
        </w:rPr>
        <w:t> </w:t>
      </w:r>
      <w:r>
        <w:rPr>
          <w:sz w:val="22"/>
        </w:rPr>
        <w:t>opportunities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access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9" w:lineRule="exact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Partnering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manage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b/>
          <w:sz w:val="22"/>
        </w:rPr>
        <w:t>impacts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growth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development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Planning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b/>
          <w:sz w:val="22"/>
        </w:rPr>
        <w:t>ocean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resources</w:t>
      </w:r>
      <w:r>
        <w:rPr>
          <w:spacing w:val="-2"/>
          <w:sz w:val="22"/>
        </w:rPr>
        <w:t>.</w:t>
      </w:r>
    </w:p>
    <w:p>
      <w:pPr>
        <w:pStyle w:val="BodyText"/>
        <w:spacing w:before="146"/>
        <w:ind w:left="360" w:right="22"/>
      </w:pPr>
      <w:r>
        <w:rPr/>
        <w:t>Depending on the fellow’s interests and the program’s activities, the fellow’s work could involve research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writing,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analysis,</w:t>
      </w:r>
      <w:r>
        <w:rPr>
          <w:spacing w:val="-3"/>
        </w:rPr>
        <w:t> </w:t>
      </w:r>
      <w:r>
        <w:rPr/>
        <w:t>strategic</w:t>
      </w:r>
      <w:r>
        <w:rPr>
          <w:spacing w:val="-3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project</w:t>
      </w:r>
      <w:r>
        <w:rPr>
          <w:spacing w:val="-5"/>
        </w:rPr>
        <w:t> </w:t>
      </w:r>
      <w:r>
        <w:rPr/>
        <w:t>management,</w:t>
      </w:r>
      <w:r>
        <w:rPr>
          <w:spacing w:val="-3"/>
        </w:rPr>
        <w:t> </w:t>
      </w:r>
      <w:r>
        <w:rPr/>
        <w:t>event</w:t>
      </w:r>
      <w:r>
        <w:rPr>
          <w:spacing w:val="-2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 facilitation, partnership building and coordination, stakeholder engagement, web design and maintenance, and internal and external communications.</w:t>
      </w:r>
    </w:p>
    <w:p>
      <w:pPr>
        <w:pStyle w:val="BodyText"/>
        <w:spacing w:before="1"/>
      </w:pPr>
    </w:p>
    <w:p>
      <w:pPr>
        <w:pStyle w:val="BodyText"/>
        <w:ind w:left="359" w:right="22"/>
      </w:pPr>
      <w:r>
        <w:rPr/>
        <w:t>While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year’s</w:t>
      </w:r>
      <w:r>
        <w:rPr>
          <w:spacing w:val="-2"/>
        </w:rPr>
        <w:t> </w:t>
      </w:r>
      <w:r>
        <w:rPr/>
        <w:t>fellowship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resilience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coastal</w:t>
      </w:r>
      <w:r>
        <w:rPr>
          <w:spacing w:val="-5"/>
        </w:rPr>
        <w:t> </w:t>
      </w:r>
      <w:r>
        <w:rPr/>
        <w:t>hazards,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value</w:t>
      </w:r>
      <w:r>
        <w:rPr>
          <w:spacing w:val="-4"/>
        </w:rPr>
        <w:t> </w:t>
      </w:r>
      <w:r>
        <w:rPr/>
        <w:t>growth</w:t>
      </w:r>
      <w:r>
        <w:rPr>
          <w:spacing w:val="-3"/>
        </w:rPr>
        <w:t> </w:t>
      </w:r>
      <w:r>
        <w:rPr/>
        <w:t>and development of fellows in all areas of coastal management.</w:t>
      </w:r>
      <w:r>
        <w:rPr>
          <w:spacing w:val="40"/>
        </w:rPr>
        <w:t> </w:t>
      </w:r>
      <w:r>
        <w:rPr/>
        <w:t>In addition to having specific outputs, the fellow will have the opportunity to explore and take on creative thinking initiatives.</w:t>
      </w:r>
    </w:p>
    <w:p>
      <w:pPr>
        <w:pStyle w:val="BodyText"/>
        <w:spacing w:before="2"/>
      </w:pPr>
    </w:p>
    <w:p>
      <w:pPr>
        <w:pStyle w:val="Heading1"/>
      </w:pPr>
      <w:r>
        <w:rPr/>
        <w:t>Area of</w:t>
      </w:r>
      <w:r>
        <w:rPr>
          <w:spacing w:val="-1"/>
        </w:rPr>
        <w:t> </w:t>
      </w:r>
      <w:r>
        <w:rPr>
          <w:spacing w:val="-2"/>
        </w:rPr>
        <w:t>Focus</w:t>
      </w:r>
    </w:p>
    <w:p>
      <w:pPr>
        <w:pStyle w:val="BodyText"/>
        <w:ind w:left="359" w:right="22"/>
      </w:pPr>
      <w:r>
        <w:rPr/>
        <w:t>Recently, the state has been updating and improving natural hazard data for all coastal counties. This modeling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work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produced</w:t>
      </w:r>
      <w:r>
        <w:rPr>
          <w:spacing w:val="-3"/>
        </w:rPr>
        <w:t> </w:t>
      </w:r>
      <w:r>
        <w:rPr/>
        <w:t>Risk</w:t>
      </w:r>
      <w:r>
        <w:rPr>
          <w:spacing w:val="-1"/>
        </w:rPr>
        <w:t> </w:t>
      </w:r>
      <w:r>
        <w:rPr/>
        <w:t>Reports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severity</w:t>
      </w:r>
      <w:r>
        <w:rPr>
          <w:spacing w:val="-3"/>
        </w:rPr>
        <w:t> </w:t>
      </w:r>
      <w:r>
        <w:rPr/>
        <w:t>of impacts from flooding, landslide, erosion, and earthquake and tsunamis. Agency experts have been following up by working hands-on with elected officials, emergency managers, and planners to identify priorities and develop strategies for resilience action.</w:t>
      </w:r>
    </w:p>
    <w:p>
      <w:pPr>
        <w:pStyle w:val="BodyText"/>
        <w:spacing w:before="267"/>
        <w:ind w:left="359" w:right="101"/>
      </w:pPr>
      <w:r>
        <w:rPr/>
        <w:t>While communities acknowledge risks from these hazards and want to be take</w:t>
      </w:r>
      <w:r>
        <w:rPr>
          <w:spacing w:val="-1"/>
        </w:rPr>
        <w:t> </w:t>
      </w:r>
      <w:r>
        <w:rPr/>
        <w:t>actions,</w:t>
      </w:r>
      <w:r>
        <w:rPr>
          <w:spacing w:val="-1"/>
        </w:rPr>
        <w:t> </w:t>
      </w:r>
      <w:r>
        <w:rPr/>
        <w:t>they struggle with the many steps needed to do so. This Fellowship will build on a two-year project aiming at developing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resources,</w:t>
      </w:r>
      <w:r>
        <w:rPr>
          <w:spacing w:val="-5"/>
        </w:rPr>
        <w:t> </w:t>
      </w:r>
      <w:r>
        <w:rPr/>
        <w:t>training,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tools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overcome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challenge.</w:t>
      </w:r>
      <w:r>
        <w:rPr>
          <w:spacing w:val="-3"/>
        </w:rPr>
        <w:t> </w:t>
      </w:r>
      <w:r>
        <w:rPr/>
        <w:t>Specifically, this Fellowship will lead our efforts in the following: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  <w:tab w:pos="1079" w:val="left" w:leader="none"/>
        </w:tabs>
        <w:spacing w:line="240" w:lineRule="auto" w:before="267" w:after="0"/>
        <w:ind w:left="1079" w:right="148" w:hanging="361"/>
        <w:jc w:val="left"/>
        <w:rPr>
          <w:sz w:val="22"/>
        </w:rPr>
      </w:pP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variety of agencies and stakeholders</w:t>
      </w:r>
      <w:r>
        <w:rPr>
          <w:spacing w:val="-1"/>
          <w:sz w:val="22"/>
        </w:rPr>
        <w:t> </w:t>
      </w:r>
      <w:r>
        <w:rPr>
          <w:sz w:val="22"/>
        </w:rPr>
        <w:t>to gather examples</w:t>
      </w:r>
      <w:r>
        <w:rPr>
          <w:spacing w:val="-1"/>
          <w:sz w:val="22"/>
        </w:rPr>
        <w:t> </w:t>
      </w:r>
      <w:r>
        <w:rPr>
          <w:sz w:val="22"/>
        </w:rPr>
        <w:t>of risk</w:t>
      </w:r>
      <w:r>
        <w:rPr>
          <w:spacing w:val="-1"/>
          <w:sz w:val="22"/>
        </w:rPr>
        <w:t> </w:t>
      </w:r>
      <w:r>
        <w:rPr>
          <w:sz w:val="22"/>
        </w:rPr>
        <w:t>reduction projects from</w:t>
      </w:r>
      <w:r>
        <w:rPr>
          <w:spacing w:val="-3"/>
          <w:sz w:val="22"/>
        </w:rPr>
        <w:t> </w:t>
      </w:r>
      <w:r>
        <w:rPr>
          <w:sz w:val="22"/>
        </w:rPr>
        <w:t>across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state.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having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collection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examples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in-depth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1"/>
          <w:sz w:val="22"/>
        </w:rPr>
        <w:t> </w:t>
      </w:r>
      <w:r>
        <w:rPr>
          <w:sz w:val="22"/>
        </w:rPr>
        <w:t>studies</w:t>
      </w:r>
      <w:r>
        <w:rPr>
          <w:spacing w:val="-2"/>
          <w:sz w:val="22"/>
        </w:rPr>
        <w:t> </w:t>
      </w:r>
      <w:r>
        <w:rPr>
          <w:sz w:val="22"/>
        </w:rPr>
        <w:t>highlighting best practices from their colleagues, communities without staff and resources will have access to risk reduction options and will be more confident when deciding on which actions to take.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00" w:bottom="280" w:left="1080" w:right="1440"/>
        </w:sectPr>
      </w:pP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79" w:val="left" w:leader="none"/>
        </w:tabs>
        <w:spacing w:line="240" w:lineRule="auto" w:before="39" w:after="0"/>
        <w:ind w:left="1079" w:right="59" w:hanging="360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carry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engagement</w:t>
      </w:r>
      <w:r>
        <w:rPr>
          <w:spacing w:val="-2"/>
          <w:sz w:val="22"/>
        </w:rPr>
        <w:t> </w:t>
      </w:r>
      <w:r>
        <w:rPr>
          <w:sz w:val="22"/>
        </w:rPr>
        <w:t>strategy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disseminating best practices, including the use of ESRI story mapping, professional training, community outreach, video production, blogs, and graphic design.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  <w:tab w:pos="1079" w:val="left" w:leader="none"/>
        </w:tabs>
        <w:spacing w:line="240" w:lineRule="auto" w:before="1" w:after="0"/>
        <w:ind w:left="1079" w:right="196" w:hanging="361"/>
        <w:jc w:val="left"/>
        <w:rPr>
          <w:sz w:val="22"/>
        </w:rPr>
      </w:pPr>
      <w:r>
        <w:rPr>
          <w:sz w:val="22"/>
        </w:rPr>
        <w:t>Continue the restructuring and development of the Coastal Hazards Resilience Network</w:t>
      </w:r>
      <w:hyperlink w:history="true" w:anchor="_bookmark0">
        <w:r>
          <w:rPr>
            <w:sz w:val="22"/>
            <w:vertAlign w:val="superscript"/>
          </w:rPr>
          <w:t>1</w:t>
        </w:r>
      </w:hyperlink>
      <w:r>
        <w:rPr>
          <w:sz w:val="22"/>
          <w:vertAlign w:val="baseline"/>
        </w:rPr>
        <w:t> website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carry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out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new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mission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tool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orienting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communities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relevant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best practices, and resources.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79" w:val="left" w:leader="none"/>
        </w:tabs>
        <w:spacing w:line="240" w:lineRule="auto" w:before="0" w:after="0"/>
        <w:ind w:left="1079" w:right="134" w:hanging="360"/>
        <w:jc w:val="left"/>
        <w:rPr>
          <w:sz w:val="22"/>
        </w:rPr>
      </w:pPr>
      <w:r>
        <w:rPr>
          <w:sz w:val="22"/>
        </w:rPr>
        <w:t>Assist with the design and execution of the state’s first coastal hazards conference, bringing together</w:t>
      </w:r>
      <w:r>
        <w:rPr>
          <w:spacing w:val="-4"/>
          <w:sz w:val="22"/>
        </w:rPr>
        <w:t> </w:t>
      </w:r>
      <w:r>
        <w:rPr>
          <w:sz w:val="22"/>
        </w:rPr>
        <w:t>practitioners,</w:t>
      </w:r>
      <w:r>
        <w:rPr>
          <w:spacing w:val="-4"/>
          <w:sz w:val="22"/>
        </w:rPr>
        <w:t> </w:t>
      </w:r>
      <w:r>
        <w:rPr>
          <w:sz w:val="22"/>
        </w:rPr>
        <w:t>scientists,</w:t>
      </w:r>
      <w:r>
        <w:rPr>
          <w:spacing w:val="-4"/>
          <w:sz w:val="22"/>
        </w:rPr>
        <w:t> </w:t>
      </w:r>
      <w:r>
        <w:rPr>
          <w:sz w:val="22"/>
        </w:rPr>
        <w:t>tribal</w:t>
      </w:r>
      <w:r>
        <w:rPr>
          <w:spacing w:val="-7"/>
          <w:sz w:val="22"/>
        </w:rPr>
        <w:t> </w:t>
      </w:r>
      <w:r>
        <w:rPr>
          <w:sz w:val="22"/>
        </w:rPr>
        <w:t>communities,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decision-makers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share</w:t>
      </w:r>
      <w:r>
        <w:rPr>
          <w:spacing w:val="-3"/>
          <w:sz w:val="22"/>
        </w:rPr>
        <w:t> </w:t>
      </w:r>
      <w:r>
        <w:rPr>
          <w:sz w:val="22"/>
        </w:rPr>
        <w:t>knowledge, ideas, and best practices related to existing and future coastal hazards impacts and risk </w:t>
      </w:r>
      <w:r>
        <w:rPr>
          <w:spacing w:val="-2"/>
          <w:sz w:val="22"/>
        </w:rPr>
        <w:t>reduction.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400" w:bottom="280" w:left="1080" w:right="1440"/>
        </w:sectPr>
      </w:pPr>
    </w:p>
    <w:p>
      <w:pPr>
        <w:pStyle w:val="Heading1"/>
        <w:spacing w:before="52"/>
      </w:pPr>
      <w:r>
        <w:rPr/>
        <w:t>Project</w:t>
      </w:r>
      <w:r>
        <w:rPr>
          <w:spacing w:val="1"/>
        </w:rPr>
        <w:t> </w:t>
      </w:r>
      <w:r>
        <w:rPr>
          <w:spacing w:val="-2"/>
        </w:rPr>
        <w:t>Partners:</w:t>
      </w:r>
    </w:p>
    <w:p>
      <w:pPr>
        <w:pStyle w:val="BodyText"/>
        <w:ind w:left="360" w:right="1734"/>
      </w:pPr>
      <w:r>
        <w:rPr/>
        <w:t>Office of the Governor Washington Sea Grant The</w:t>
      </w:r>
      <w:r>
        <w:rPr>
          <w:spacing w:val="-13"/>
        </w:rPr>
        <w:t> </w:t>
      </w:r>
      <w:r>
        <w:rPr/>
        <w:t>Nature</w:t>
      </w:r>
      <w:r>
        <w:rPr>
          <w:spacing w:val="-12"/>
        </w:rPr>
        <w:t> </w:t>
      </w:r>
      <w:r>
        <w:rPr/>
        <w:t>Conservancy FEMA Region X</w:t>
      </w:r>
    </w:p>
    <w:p>
      <w:pPr>
        <w:pStyle w:val="BodyText"/>
        <w:ind w:left="360"/>
      </w:pPr>
      <w:r>
        <w:rPr/>
        <w:t>State Emergency Management Division Washington</w:t>
      </w:r>
      <w:r>
        <w:rPr>
          <w:spacing w:val="-10"/>
        </w:rPr>
        <w:t> </w:t>
      </w:r>
      <w:r>
        <w:rPr/>
        <w:t>Coastal</w:t>
      </w:r>
      <w:r>
        <w:rPr>
          <w:spacing w:val="-9"/>
        </w:rPr>
        <w:t> </w:t>
      </w:r>
      <w:r>
        <w:rPr/>
        <w:t>Marine</w:t>
      </w:r>
      <w:r>
        <w:rPr>
          <w:spacing w:val="-8"/>
        </w:rPr>
        <w:t> </w:t>
      </w:r>
      <w:r>
        <w:rPr/>
        <w:t>Advisory</w:t>
      </w:r>
      <w:r>
        <w:rPr>
          <w:spacing w:val="-10"/>
        </w:rPr>
        <w:t> </w:t>
      </w:r>
      <w:r>
        <w:rPr/>
        <w:t>Council State Department of Natural Resources</w:t>
      </w:r>
    </w:p>
    <w:p>
      <w:pPr>
        <w:pStyle w:val="BodyText"/>
        <w:spacing w:before="75"/>
      </w:pPr>
      <w:r>
        <w:rPr/>
        <w:br w:type="column"/>
      </w:r>
      <w:r>
        <w:rPr/>
      </w:r>
    </w:p>
    <w:p>
      <w:pPr>
        <w:pStyle w:val="BodyText"/>
        <w:ind w:left="360" w:right="909"/>
      </w:pPr>
      <w:r>
        <w:rPr/>
        <w:t>State</w:t>
      </w:r>
      <w:r>
        <w:rPr>
          <w:spacing w:val="-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 Commerce Pacific</w:t>
      </w:r>
      <w:r>
        <w:rPr>
          <w:spacing w:val="-5"/>
        </w:rPr>
        <w:t> </w:t>
      </w:r>
      <w:r>
        <w:rPr/>
        <w:t>Coast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>
          <w:spacing w:val="-2"/>
        </w:rPr>
        <w:t>Governments</w:t>
      </w:r>
    </w:p>
    <w:p>
      <w:pPr>
        <w:pStyle w:val="BodyText"/>
        <w:spacing w:before="1"/>
        <w:ind w:left="360" w:right="465"/>
      </w:pPr>
      <w:r>
        <w:rPr/>
        <w:t>Washington</w:t>
      </w:r>
      <w:r>
        <w:rPr>
          <w:spacing w:val="-13"/>
        </w:rPr>
        <w:t> </w:t>
      </w:r>
      <w:r>
        <w:rPr/>
        <w:t>Marine</w:t>
      </w:r>
      <w:r>
        <w:rPr>
          <w:spacing w:val="-12"/>
        </w:rPr>
        <w:t> </w:t>
      </w:r>
      <w:r>
        <w:rPr/>
        <w:t>Resource</w:t>
      </w:r>
      <w:r>
        <w:rPr>
          <w:spacing w:val="-13"/>
        </w:rPr>
        <w:t> </w:t>
      </w:r>
      <w:r>
        <w:rPr/>
        <w:t>Committees Washington State Parks &amp; Recreation </w:t>
      </w:r>
      <w:r>
        <w:rPr>
          <w:spacing w:val="-2"/>
        </w:rPr>
        <w:t>Tribes</w:t>
      </w:r>
    </w:p>
    <w:p>
      <w:pPr>
        <w:pStyle w:val="BodyText"/>
        <w:spacing w:line="267" w:lineRule="exact"/>
        <w:ind w:left="360"/>
      </w:pPr>
      <w:r>
        <w:rPr/>
        <w:t>U.S.</w:t>
      </w:r>
      <w:r>
        <w:rPr>
          <w:spacing w:val="-2"/>
        </w:rPr>
        <w:t> </w:t>
      </w:r>
      <w:r>
        <w:rPr/>
        <w:t>Army</w:t>
      </w:r>
      <w:r>
        <w:rPr>
          <w:spacing w:val="-2"/>
        </w:rPr>
        <w:t> </w:t>
      </w:r>
      <w:r>
        <w:rPr/>
        <w:t>Corps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Engineers</w:t>
      </w:r>
    </w:p>
    <w:p>
      <w:pPr>
        <w:pStyle w:val="BodyText"/>
        <w:spacing w:after="0" w:line="267" w:lineRule="exact"/>
        <w:sectPr>
          <w:type w:val="continuous"/>
          <w:pgSz w:w="12240" w:h="15840"/>
          <w:pgMar w:top="1400" w:bottom="280" w:left="1080" w:right="1440"/>
          <w:cols w:num="2" w:equalWidth="0">
            <w:col w:w="4410" w:space="630"/>
            <w:col w:w="4680"/>
          </w:cols>
        </w:sectPr>
      </w:pPr>
    </w:p>
    <w:p>
      <w:pPr>
        <w:pStyle w:val="Heading1"/>
        <w:spacing w:before="268"/>
        <w:jc w:val="both"/>
      </w:pPr>
      <w:r>
        <w:rPr/>
        <w:t>Fellow</w:t>
      </w:r>
      <w:r>
        <w:rPr>
          <w:spacing w:val="-3"/>
        </w:rPr>
        <w:t> </w:t>
      </w:r>
      <w:r>
        <w:rPr/>
        <w:t>Mentoring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Agency</w:t>
      </w:r>
      <w:r>
        <w:rPr>
          <w:spacing w:val="-1"/>
        </w:rPr>
        <w:t> </w:t>
      </w:r>
      <w:r>
        <w:rPr>
          <w:spacing w:val="-2"/>
        </w:rPr>
        <w:t>Connections</w:t>
      </w:r>
    </w:p>
    <w:p>
      <w:pPr>
        <w:pStyle w:val="BodyText"/>
        <w:ind w:left="360" w:right="196"/>
        <w:jc w:val="both"/>
      </w:pPr>
      <w:r>
        <w:rPr/>
        <w:t>The</w:t>
      </w:r>
      <w:r>
        <w:rPr>
          <w:spacing w:val="-1"/>
        </w:rPr>
        <w:t> </w:t>
      </w:r>
      <w:r>
        <w:rPr/>
        <w:t>Fellow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work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Shorelands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 Ecology in</w:t>
      </w:r>
      <w:r>
        <w:rPr>
          <w:spacing w:val="-4"/>
        </w:rPr>
        <w:t> </w:t>
      </w:r>
      <w:r>
        <w:rPr/>
        <w:t>Olympia,</w:t>
      </w:r>
      <w:r>
        <w:rPr>
          <w:spacing w:val="-3"/>
        </w:rPr>
        <w:t> </w:t>
      </w:r>
      <w:r>
        <w:rPr/>
        <w:t>WA.</w:t>
      </w:r>
      <w:r>
        <w:rPr>
          <w:spacing w:val="-1"/>
        </w:rPr>
        <w:t> </w:t>
      </w:r>
      <w:r>
        <w:rPr/>
        <w:t>The fellow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have a</w:t>
      </w:r>
      <w:r>
        <w:rPr>
          <w:spacing w:val="-3"/>
        </w:rPr>
        <w:t> </w:t>
      </w:r>
      <w:r>
        <w:rPr/>
        <w:t>mentor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supervisor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oversee activities</w:t>
      </w:r>
      <w:r>
        <w:rPr>
          <w:spacing w:val="-1"/>
        </w:rPr>
        <w:t> </w:t>
      </w:r>
      <w:r>
        <w:rPr/>
        <w:t>and guide development.</w:t>
      </w:r>
    </w:p>
    <w:p>
      <w:pPr>
        <w:pStyle w:val="BodyText"/>
      </w:pPr>
    </w:p>
    <w:p>
      <w:pPr>
        <w:pStyle w:val="BodyText"/>
        <w:ind w:left="359" w:right="22"/>
      </w:pPr>
      <w:r>
        <w:rPr/>
        <w:t>The fellow will have a tailored Performance and Development Plan that provides a comprehensive and integrated approach to managing the relationship between mentors and fellows, evaluating fellows’ progress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tasks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growth,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clear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open</w:t>
      </w:r>
      <w:r>
        <w:rPr>
          <w:spacing w:val="-3"/>
        </w:rPr>
        <w:t> </w:t>
      </w:r>
      <w:r>
        <w:rPr/>
        <w:t>discussions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opportunities for improvement - using goal-setting, self-evaluation, and supplemental information. These elements establish the foundation for a successful fellowship and career.</w:t>
      </w:r>
    </w:p>
    <w:p>
      <w:pPr>
        <w:pStyle w:val="BodyText"/>
        <w:spacing w:before="267"/>
        <w:ind w:left="359" w:right="22"/>
      </w:pPr>
      <w:r>
        <w:rPr/>
        <w:t>The fellow will be part of a multi-agency team working on hazards resilience, including another Washington</w:t>
      </w:r>
      <w:r>
        <w:rPr>
          <w:spacing w:val="-1"/>
        </w:rPr>
        <w:t> </w:t>
      </w:r>
      <w:r>
        <w:rPr/>
        <w:t>Sea Grant</w:t>
      </w:r>
      <w:r>
        <w:rPr>
          <w:spacing w:val="-2"/>
        </w:rPr>
        <w:t> </w:t>
      </w:r>
      <w:r>
        <w:rPr/>
        <w:t>Fellow at Ecology.</w:t>
      </w:r>
      <w:r>
        <w:rPr>
          <w:spacing w:val="-3"/>
        </w:rPr>
        <w:t> </w:t>
      </w:r>
      <w:r>
        <w:rPr/>
        <w:t>This team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supported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 range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coastal</w:t>
      </w:r>
      <w:r>
        <w:rPr>
          <w:spacing w:val="-3"/>
        </w:rPr>
        <w:t> </w:t>
      </w:r>
      <w:r>
        <w:rPr/>
        <w:t>management experts,</w:t>
      </w:r>
      <w:r>
        <w:rPr>
          <w:spacing w:val="-3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ocean</w:t>
      </w:r>
      <w:r>
        <w:rPr>
          <w:spacing w:val="-5"/>
        </w:rPr>
        <w:t> </w:t>
      </w:r>
      <w:r>
        <w:rPr/>
        <w:t>policy,</w:t>
      </w:r>
      <w:r>
        <w:rPr>
          <w:spacing w:val="-4"/>
        </w:rPr>
        <w:t> </w:t>
      </w:r>
      <w:r>
        <w:rPr/>
        <w:t>shoreline</w:t>
      </w:r>
      <w:r>
        <w:rPr>
          <w:spacing w:val="-6"/>
        </w:rPr>
        <w:t> </w:t>
      </w:r>
      <w:r>
        <w:rPr/>
        <w:t>management,</w:t>
      </w:r>
      <w:r>
        <w:rPr>
          <w:spacing w:val="-4"/>
        </w:rPr>
        <w:t> </w:t>
      </w:r>
      <w:r>
        <w:rPr/>
        <w:t>coastal</w:t>
      </w:r>
      <w:r>
        <w:rPr>
          <w:spacing w:val="-4"/>
        </w:rPr>
        <w:t> </w:t>
      </w:r>
      <w:r>
        <w:rPr/>
        <w:t>geology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engineering,</w:t>
      </w:r>
      <w:r>
        <w:rPr>
          <w:spacing w:val="-4"/>
        </w:rPr>
        <w:t> </w:t>
      </w:r>
      <w:r>
        <w:rPr/>
        <w:t>floodplain management, wetlands and critical areas, and legislative engagement professionals.</w:t>
      </w:r>
    </w:p>
    <w:p>
      <w:pPr>
        <w:pStyle w:val="BodyText"/>
        <w:spacing w:before="1"/>
      </w:pPr>
    </w:p>
    <w:p>
      <w:pPr>
        <w:pStyle w:val="BodyText"/>
        <w:ind w:left="359" w:right="101"/>
      </w:pPr>
      <w:r>
        <w:rPr/>
        <w:t>The Fellow will be encouraged to attend relevant coordination meetings, trainings or other opportunities to gain exposure and understanding of how government and non-governmental organizations work on regional coastal management. When opportunities arise, the Fellow will be encouraged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audiences.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connect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fellow to state, regional, and national partners and encourage coordinated participation in larger resilience conversations centered on fundamental and unified approaches to protecting resources, people, and </w:t>
      </w:r>
      <w:r>
        <w:rPr>
          <w:spacing w:val="-2"/>
        </w:rPr>
        <w:t>systems.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172954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3.618444pt;width:144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360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Coastal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Hazards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Resilience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Network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website:</w:t>
      </w:r>
      <w:r>
        <w:rPr>
          <w:spacing w:val="-8"/>
          <w:sz w:val="20"/>
          <w:vertAlign w:val="baseline"/>
        </w:rPr>
        <w:t> </w:t>
      </w:r>
      <w:hyperlink r:id="rId5">
        <w:r>
          <w:rPr>
            <w:color w:val="0563C1"/>
            <w:spacing w:val="-2"/>
            <w:sz w:val="20"/>
            <w:u w:val="single" w:color="0563C1"/>
            <w:vertAlign w:val="baseline"/>
          </w:rPr>
          <w:t>http://www.wacoastalnetwork.com/</w:t>
        </w:r>
      </w:hyperlink>
    </w:p>
    <w:sectPr>
      <w:type w:val="continuous"/>
      <w:pgSz w:w="12240" w:h="15840"/>
      <w:pgMar w:top="14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7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93" w:lineRule="exact"/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acoastalnetwork.com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WA Department of Ecology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Levkowitz, Michael (ECY)</dc:creator>
  <dc:description/>
  <dcterms:created xsi:type="dcterms:W3CDTF">2026-02-28T00:33:23Z</dcterms:created>
  <dcterms:modified xsi:type="dcterms:W3CDTF">2026-02-28T00:33:23Z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2026-02-28T00:00:00Z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D:20190404224048</vt:lpwstr>
  </property>
</Properties>
</file>