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360" w:right="0" w:firstLine="0"/>
        <w:jc w:val="left"/>
        <w:rPr>
          <w:sz w:val="22"/>
        </w:rPr>
      </w:pPr>
      <w:r>
        <w:rPr>
          <w:b/>
          <w:sz w:val="22"/>
        </w:rPr>
        <w:t>Washington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Resilience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Demonstration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11"/>
          <w:sz w:val="22"/>
        </w:rPr>
        <w:t> </w:t>
      </w:r>
      <w:r>
        <w:rPr>
          <w:sz w:val="22"/>
        </w:rPr>
        <w:t>|</w:t>
      </w:r>
      <w:r>
        <w:rPr>
          <w:spacing w:val="-7"/>
          <w:sz w:val="22"/>
        </w:rPr>
        <w:t> </w:t>
      </w:r>
      <w:r>
        <w:rPr>
          <w:sz w:val="22"/>
        </w:rPr>
        <w:t>2019-2020</w:t>
      </w:r>
      <w:r>
        <w:rPr>
          <w:spacing w:val="-6"/>
          <w:sz w:val="22"/>
        </w:rPr>
        <w:t> </w:t>
      </w:r>
      <w:r>
        <w:rPr>
          <w:sz w:val="22"/>
        </w:rPr>
        <w:t>Washington</w:t>
      </w:r>
      <w:r>
        <w:rPr>
          <w:spacing w:val="-6"/>
          <w:sz w:val="22"/>
        </w:rPr>
        <w:t> </w:t>
      </w:r>
      <w:r>
        <w:rPr>
          <w:sz w:val="22"/>
        </w:rPr>
        <w:t>Sea</w:t>
      </w:r>
      <w:r>
        <w:rPr>
          <w:spacing w:val="-6"/>
          <w:sz w:val="22"/>
        </w:rPr>
        <w:t> </w:t>
      </w:r>
      <w:r>
        <w:rPr>
          <w:sz w:val="22"/>
        </w:rPr>
        <w:t>Grant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Fellowship</w:t>
      </w:r>
    </w:p>
    <w:p>
      <w:pPr>
        <w:pStyle w:val="BodyText"/>
      </w:pPr>
    </w:p>
    <w:p>
      <w:pPr>
        <w:pStyle w:val="BodyText"/>
        <w:ind w:left="359" w:right="4461"/>
      </w:pPr>
      <w:r>
        <w:rPr/>
        <w:t>Manager: Brian Lynn, Coastal Program Manager Project</w:t>
      </w:r>
      <w:r>
        <w:rPr>
          <w:spacing w:val="-7"/>
        </w:rPr>
        <w:t> </w:t>
      </w:r>
      <w:r>
        <w:rPr/>
        <w:t>Mentor:</w:t>
      </w:r>
      <w:r>
        <w:rPr>
          <w:spacing w:val="-4"/>
        </w:rPr>
        <w:t> </w:t>
      </w:r>
      <w:r>
        <w:rPr/>
        <w:t>Bobbak</w:t>
      </w:r>
      <w:r>
        <w:rPr>
          <w:spacing w:val="-7"/>
        </w:rPr>
        <w:t> </w:t>
      </w:r>
      <w:r>
        <w:rPr/>
        <w:t>Talebi,</w:t>
      </w:r>
      <w:r>
        <w:rPr>
          <w:spacing w:val="-5"/>
        </w:rPr>
        <w:t> </w:t>
      </w:r>
      <w:r>
        <w:rPr/>
        <w:t>Senior</w:t>
      </w:r>
      <w:r>
        <w:rPr>
          <w:spacing w:val="-7"/>
        </w:rPr>
        <w:t> </w:t>
      </w:r>
      <w:r>
        <w:rPr/>
        <w:t>Coastal</w:t>
      </w:r>
      <w:r>
        <w:rPr>
          <w:spacing w:val="-8"/>
        </w:rPr>
        <w:t> </w:t>
      </w:r>
      <w:r>
        <w:rPr/>
        <w:t>Planner Washington State Department of Ecology</w:t>
      </w:r>
    </w:p>
    <w:p>
      <w:pPr>
        <w:pStyle w:val="Heading1"/>
        <w:spacing w:before="268"/>
      </w:pPr>
      <w:r>
        <w:rPr>
          <w:spacing w:val="-2"/>
        </w:rPr>
        <w:t>Overview</w:t>
      </w:r>
    </w:p>
    <w:p>
      <w:pPr>
        <w:pStyle w:val="BodyText"/>
        <w:ind w:left="359" w:right="109"/>
      </w:pPr>
      <w:r>
        <w:rPr/>
        <w:t>Washington</w:t>
      </w:r>
      <w:r>
        <w:rPr>
          <w:spacing w:val="-1"/>
        </w:rPr>
        <w:t> </w:t>
      </w:r>
      <w:r>
        <w:rPr/>
        <w:t>was the first state in the Nation to earn federal approval for its Coastal Zone Management Program</w:t>
      </w:r>
      <w:r>
        <w:rPr>
          <w:spacing w:val="-1"/>
        </w:rPr>
        <w:t> </w:t>
      </w:r>
      <w:r>
        <w:rPr/>
        <w:t>(Coastal</w:t>
      </w:r>
      <w:r>
        <w:rPr>
          <w:spacing w:val="-3"/>
        </w:rPr>
        <w:t> </w:t>
      </w:r>
      <w:r>
        <w:rPr/>
        <w:t>Program), established</w:t>
      </w:r>
      <w:r>
        <w:rPr>
          <w:spacing w:val="-3"/>
        </w:rPr>
        <w:t> </w:t>
      </w:r>
      <w:r>
        <w:rPr/>
        <w:t>under the</w:t>
      </w:r>
      <w:r>
        <w:rPr>
          <w:spacing w:val="-2"/>
        </w:rPr>
        <w:t> </w:t>
      </w:r>
      <w:r>
        <w:rPr/>
        <w:t>authority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1972</w:t>
      </w:r>
      <w:r>
        <w:rPr>
          <w:spacing w:val="-1"/>
        </w:rPr>
        <w:t> </w:t>
      </w:r>
      <w:r>
        <w:rPr/>
        <w:t>Coastal</w:t>
      </w:r>
      <w:r>
        <w:rPr>
          <w:spacing w:val="-3"/>
        </w:rPr>
        <w:t> </w:t>
      </w:r>
      <w:r>
        <w:rPr/>
        <w:t>Zone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Act (CZMA).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Coastal</w:t>
      </w:r>
      <w:r>
        <w:rPr>
          <w:spacing w:val="-2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housed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Ecology,</w:t>
      </w:r>
      <w:r>
        <w:rPr>
          <w:spacing w:val="-4"/>
        </w:rPr>
        <w:t> </w:t>
      </w:r>
      <w:r>
        <w:rPr/>
        <w:t>meets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goals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federal law through a comprehensive approach to coastal resource management. This work requires us to balance the often competing — and occasionally conflicting — demands of coastal resources use, economic development, and conservation. We partner with a range of stakeholders, agencies, Tribes, local governments, academics, and</w:t>
      </w:r>
      <w:r>
        <w:rPr>
          <w:spacing w:val="-1"/>
        </w:rPr>
        <w:t> </w:t>
      </w:r>
      <w:r>
        <w:rPr/>
        <w:t>non-profits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mission. We focus</w:t>
      </w:r>
      <w:r>
        <w:rPr>
          <w:spacing w:val="-2"/>
        </w:rPr>
        <w:t> </w:t>
      </w:r>
      <w:r>
        <w:rPr/>
        <w:t>our efforts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five</w:t>
      </w:r>
      <w:r>
        <w:rPr>
          <w:spacing w:val="-1"/>
        </w:rPr>
        <w:t> </w:t>
      </w:r>
      <w:r>
        <w:rPr/>
        <w:t>key </w:t>
      </w:r>
      <w:r>
        <w:rPr>
          <w:spacing w:val="-2"/>
        </w:rPr>
        <w:t>priorities: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46" w:after="0"/>
        <w:ind w:left="1080" w:right="0" w:hanging="360"/>
        <w:jc w:val="left"/>
        <w:rPr>
          <w:sz w:val="22"/>
        </w:rPr>
      </w:pPr>
      <w:r>
        <w:rPr>
          <w:sz w:val="22"/>
        </w:rPr>
        <w:t>Protecting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restoring</w:t>
      </w:r>
      <w:r>
        <w:rPr>
          <w:spacing w:val="-7"/>
          <w:sz w:val="22"/>
        </w:rPr>
        <w:t> </w:t>
      </w:r>
      <w:r>
        <w:rPr>
          <w:b/>
          <w:sz w:val="22"/>
        </w:rPr>
        <w:t>coastal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wetlands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Preventing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reducing</w:t>
      </w:r>
      <w:r>
        <w:rPr>
          <w:spacing w:val="-6"/>
          <w:sz w:val="22"/>
        </w:rPr>
        <w:t> </w:t>
      </w:r>
      <w:r>
        <w:rPr>
          <w:sz w:val="22"/>
        </w:rPr>
        <w:t>threats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b/>
          <w:sz w:val="22"/>
        </w:rPr>
        <w:t>coastal</w:t>
      </w:r>
      <w:r>
        <w:rPr>
          <w:b/>
          <w:spacing w:val="-2"/>
          <w:sz w:val="22"/>
        </w:rPr>
        <w:t> hazards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Attaining</w:t>
      </w:r>
      <w:r>
        <w:rPr>
          <w:spacing w:val="-6"/>
          <w:sz w:val="22"/>
        </w:rPr>
        <w:t> </w:t>
      </w:r>
      <w:r>
        <w:rPr>
          <w:sz w:val="22"/>
        </w:rPr>
        <w:t>increased</w:t>
      </w:r>
      <w:r>
        <w:rPr>
          <w:spacing w:val="-8"/>
          <w:sz w:val="22"/>
        </w:rPr>
        <w:t> </w:t>
      </w:r>
      <w:r>
        <w:rPr>
          <w:sz w:val="22"/>
        </w:rPr>
        <w:t>opportunities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access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Partnering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manage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b/>
          <w:sz w:val="22"/>
        </w:rPr>
        <w:t>impacts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growth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development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Planning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b/>
          <w:sz w:val="22"/>
        </w:rPr>
        <w:t>ocean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resources</w:t>
      </w:r>
      <w:r>
        <w:rPr>
          <w:spacing w:val="-2"/>
          <w:sz w:val="22"/>
        </w:rPr>
        <w:t>.</w:t>
      </w:r>
    </w:p>
    <w:p>
      <w:pPr>
        <w:pStyle w:val="BodyText"/>
        <w:spacing w:before="144"/>
        <w:ind w:left="360" w:right="23"/>
      </w:pPr>
      <w:r>
        <w:rPr/>
        <w:t>Depending on the fellow’s interests and the program’s activities, the fellow’s work could involve research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writing,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analysis,</w:t>
      </w:r>
      <w:r>
        <w:rPr>
          <w:spacing w:val="-3"/>
        </w:rPr>
        <w:t> </w:t>
      </w:r>
      <w:r>
        <w:rPr/>
        <w:t>strategic</w:t>
      </w:r>
      <w:r>
        <w:rPr>
          <w:spacing w:val="-3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project</w:t>
      </w:r>
      <w:r>
        <w:rPr>
          <w:spacing w:val="-5"/>
        </w:rPr>
        <w:t> </w:t>
      </w:r>
      <w:r>
        <w:rPr/>
        <w:t>management,</w:t>
      </w:r>
      <w:r>
        <w:rPr>
          <w:spacing w:val="-3"/>
        </w:rPr>
        <w:t> </w:t>
      </w:r>
      <w:r>
        <w:rPr/>
        <w:t>event</w:t>
      </w:r>
      <w:r>
        <w:rPr>
          <w:spacing w:val="-2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 facilitation, partnership building and coordination, stakeholder engagement, web design and maintenance, and internal and external communications.</w:t>
      </w:r>
    </w:p>
    <w:p>
      <w:pPr>
        <w:pStyle w:val="BodyText"/>
        <w:spacing w:before="1"/>
      </w:pPr>
    </w:p>
    <w:p>
      <w:pPr>
        <w:pStyle w:val="BodyText"/>
        <w:ind w:left="359"/>
      </w:pPr>
      <w:r>
        <w:rPr/>
        <w:t>While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year’s</w:t>
      </w:r>
      <w:r>
        <w:rPr>
          <w:spacing w:val="-2"/>
        </w:rPr>
        <w:t> </w:t>
      </w:r>
      <w:r>
        <w:rPr/>
        <w:t>fellowship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resilience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coastal</w:t>
      </w:r>
      <w:r>
        <w:rPr>
          <w:spacing w:val="-5"/>
        </w:rPr>
        <w:t> </w:t>
      </w:r>
      <w:r>
        <w:rPr/>
        <w:t>hazards,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value</w:t>
      </w:r>
      <w:r>
        <w:rPr>
          <w:spacing w:val="-4"/>
        </w:rPr>
        <w:t> </w:t>
      </w:r>
      <w:r>
        <w:rPr/>
        <w:t>growth</w:t>
      </w:r>
      <w:r>
        <w:rPr>
          <w:spacing w:val="-3"/>
        </w:rPr>
        <w:t> </w:t>
      </w:r>
      <w:r>
        <w:rPr/>
        <w:t>and development of fellows in all areas of coastal management.</w:t>
      </w:r>
      <w:r>
        <w:rPr>
          <w:spacing w:val="40"/>
        </w:rPr>
        <w:t> </w:t>
      </w:r>
      <w:r>
        <w:rPr/>
        <w:t>In addition to having specific outputs, the fellow will have the opportunity to explore and take on creative thinking initiatives.</w:t>
      </w:r>
    </w:p>
    <w:p>
      <w:pPr>
        <w:pStyle w:val="BodyText"/>
        <w:spacing w:before="1"/>
      </w:pPr>
    </w:p>
    <w:p>
      <w:pPr>
        <w:pStyle w:val="Heading1"/>
      </w:pPr>
      <w:r>
        <w:rPr/>
        <w:t>Area of</w:t>
      </w:r>
      <w:r>
        <w:rPr>
          <w:spacing w:val="-1"/>
        </w:rPr>
        <w:t> </w:t>
      </w:r>
      <w:r>
        <w:rPr>
          <w:spacing w:val="-2"/>
        </w:rPr>
        <w:t>Focus</w:t>
      </w:r>
    </w:p>
    <w:p>
      <w:pPr>
        <w:pStyle w:val="BodyText"/>
        <w:ind w:left="359"/>
      </w:pPr>
      <w:r>
        <w:rPr/>
        <w:t>For decades, Washington coastal communities have been trying to address the impacts from natural hazards</w:t>
      </w:r>
      <w:r>
        <w:rPr>
          <w:spacing w:val="-2"/>
        </w:rPr>
        <w:t> </w:t>
      </w:r>
      <w:r>
        <w:rPr/>
        <w:t>(flooding,</w:t>
      </w:r>
      <w:r>
        <w:rPr>
          <w:spacing w:val="-2"/>
        </w:rPr>
        <w:t> </w:t>
      </w:r>
      <w:r>
        <w:rPr/>
        <w:t>erosion,</w:t>
      </w:r>
      <w:r>
        <w:rPr>
          <w:spacing w:val="-7"/>
        </w:rPr>
        <w:t> </w:t>
      </w:r>
      <w:r>
        <w:rPr/>
        <w:t>wind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waves,</w:t>
      </w:r>
      <w:r>
        <w:rPr>
          <w:spacing w:val="-4"/>
        </w:rPr>
        <w:t> </w:t>
      </w:r>
      <w:r>
        <w:rPr/>
        <w:t>storm</w:t>
      </w:r>
      <w:r>
        <w:rPr>
          <w:spacing w:val="-3"/>
        </w:rPr>
        <w:t> </w:t>
      </w:r>
      <w:r>
        <w:rPr/>
        <w:t>surge,</w:t>
      </w:r>
      <w:r>
        <w:rPr>
          <w:spacing w:val="-2"/>
        </w:rPr>
        <w:t> </w:t>
      </w:r>
      <w:r>
        <w:rPr/>
        <w:t>landslides,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earthquake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tsunamis).</w:t>
      </w:r>
      <w:r>
        <w:rPr>
          <w:spacing w:val="-5"/>
        </w:rPr>
        <w:t> </w:t>
      </w:r>
      <w:r>
        <w:rPr/>
        <w:t>As disaster events become more frequent and severe, the historic approach of reactionary crisis management is no longer a feasible option due to the growing costs. But, there are also significant capacity constraints at the local level to shift to more proactive risk reduction.</w:t>
      </w:r>
    </w:p>
    <w:p>
      <w:pPr>
        <w:pStyle w:val="BodyText"/>
        <w:spacing w:before="267"/>
        <w:ind w:left="359" w:right="23"/>
      </w:pPr>
      <w:r>
        <w:rPr/>
        <w:t>This</w:t>
      </w:r>
      <w:r>
        <w:rPr>
          <w:spacing w:val="-2"/>
        </w:rPr>
        <w:t> </w:t>
      </w:r>
      <w:r>
        <w:rPr/>
        <w:t>Fellowship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support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shape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state’s</w:t>
      </w:r>
      <w:r>
        <w:rPr>
          <w:spacing w:val="-4"/>
        </w:rPr>
        <w:t> </w:t>
      </w:r>
      <w:r>
        <w:rPr/>
        <w:t>“Washington</w:t>
      </w:r>
      <w:r>
        <w:rPr>
          <w:spacing w:val="-3"/>
        </w:rPr>
        <w:t> </w:t>
      </w:r>
      <w:r>
        <w:rPr/>
        <w:t>Coast</w:t>
      </w:r>
      <w:r>
        <w:rPr>
          <w:spacing w:val="-1"/>
        </w:rPr>
        <w:t> </w:t>
      </w:r>
      <w:r>
        <w:rPr/>
        <w:t>Resilience Action Demonstration (RAD) Project.” The RAD Project will initiate a multi-agency “Coastal Hazards Organizational Resilience Team (COHORT)” to support community led efforts in developing resilience projects</w:t>
      </w:r>
      <w:hyperlink w:history="true" w:anchor="_bookmark0">
        <w:r>
          <w:rPr>
            <w:vertAlign w:val="superscript"/>
          </w:rPr>
          <w:t>1</w:t>
        </w:r>
      </w:hyperlink>
      <w:r>
        <w:rPr>
          <w:vertAlign w:val="baseline"/>
        </w:rPr>
        <w:t> that achieve benefits to people, place, and environment. Specifically, the Fellow will be working with a team to complete the following tasks: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198906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5.661941pt;width:144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96"/>
        <w:ind w:left="360" w:right="0" w:hanging="1"/>
        <w:jc w:val="left"/>
        <w:rPr>
          <w:sz w:val="16"/>
        </w:rPr>
      </w:pPr>
      <w:bookmarkStart w:name="_bookmark0" w:id="1"/>
      <w:bookmarkEnd w:id="1"/>
      <w:r>
        <w:rPr/>
      </w:r>
      <w:r>
        <w:rPr>
          <w:position w:val="7"/>
          <w:sz w:val="13"/>
        </w:rPr>
        <w:t>1</w:t>
      </w:r>
      <w:r>
        <w:rPr>
          <w:spacing w:val="12"/>
          <w:position w:val="7"/>
          <w:sz w:val="13"/>
        </w:rPr>
        <w:t> </w:t>
      </w:r>
      <w:r>
        <w:rPr>
          <w:sz w:val="16"/>
        </w:rPr>
        <w:t>Resilience</w:t>
      </w:r>
      <w:r>
        <w:rPr>
          <w:spacing w:val="-3"/>
          <w:sz w:val="16"/>
        </w:rPr>
        <w:t> </w:t>
      </w:r>
      <w:r>
        <w:rPr>
          <w:sz w:val="16"/>
        </w:rPr>
        <w:t>projects</w:t>
      </w:r>
      <w:r>
        <w:rPr>
          <w:spacing w:val="-13"/>
          <w:sz w:val="16"/>
        </w:rPr>
        <w:t> </w:t>
      </w:r>
      <w:r>
        <w:rPr>
          <w:sz w:val="16"/>
        </w:rPr>
        <w:t>can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any</w:t>
      </w:r>
      <w:r>
        <w:rPr>
          <w:spacing w:val="-3"/>
          <w:sz w:val="16"/>
        </w:rPr>
        <w:t> </w:t>
      </w:r>
      <w:r>
        <w:rPr>
          <w:sz w:val="16"/>
        </w:rPr>
        <w:t>activity</w:t>
      </w:r>
      <w:r>
        <w:rPr>
          <w:spacing w:val="-3"/>
          <w:sz w:val="16"/>
        </w:rPr>
        <w:t> </w:t>
      </w:r>
      <w:r>
        <w:rPr>
          <w:sz w:val="16"/>
        </w:rPr>
        <w:t>needed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reduce</w:t>
      </w:r>
      <w:r>
        <w:rPr>
          <w:spacing w:val="-1"/>
          <w:sz w:val="16"/>
        </w:rPr>
        <w:t> </w:t>
      </w:r>
      <w:r>
        <w:rPr>
          <w:sz w:val="16"/>
        </w:rPr>
        <w:t>risk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natural</w:t>
      </w:r>
      <w:r>
        <w:rPr>
          <w:spacing w:val="-4"/>
          <w:sz w:val="16"/>
        </w:rPr>
        <w:t> </w:t>
      </w:r>
      <w:r>
        <w:rPr>
          <w:sz w:val="16"/>
        </w:rPr>
        <w:t>hazards</w:t>
      </w:r>
      <w:r>
        <w:rPr>
          <w:spacing w:val="-3"/>
          <w:sz w:val="16"/>
        </w:rPr>
        <w:t> </w:t>
      </w:r>
      <w:r>
        <w:rPr>
          <w:sz w:val="16"/>
        </w:rPr>
        <w:t>while</w:t>
      </w:r>
      <w:r>
        <w:rPr>
          <w:spacing w:val="-3"/>
          <w:sz w:val="16"/>
        </w:rPr>
        <w:t> </w:t>
      </w:r>
      <w:r>
        <w:rPr>
          <w:sz w:val="16"/>
        </w:rPr>
        <w:t>also</w:t>
      </w:r>
      <w:r>
        <w:rPr>
          <w:spacing w:val="-3"/>
          <w:sz w:val="16"/>
        </w:rPr>
        <w:t> </w:t>
      </w:r>
      <w:r>
        <w:rPr>
          <w:sz w:val="16"/>
        </w:rPr>
        <w:t>benefiting</w:t>
      </w:r>
      <w:r>
        <w:rPr>
          <w:spacing w:val="-2"/>
          <w:sz w:val="16"/>
        </w:rPr>
        <w:t> </w:t>
      </w:r>
      <w:r>
        <w:rPr>
          <w:sz w:val="16"/>
        </w:rPr>
        <w:t>habitat,</w:t>
      </w:r>
      <w:r>
        <w:rPr>
          <w:spacing w:val="-2"/>
          <w:sz w:val="16"/>
        </w:rPr>
        <w:t> </w:t>
      </w:r>
      <w:r>
        <w:rPr>
          <w:sz w:val="16"/>
        </w:rPr>
        <w:t>public</w:t>
      </w:r>
      <w:r>
        <w:rPr>
          <w:spacing w:val="-3"/>
          <w:sz w:val="16"/>
        </w:rPr>
        <w:t> </w:t>
      </w:r>
      <w:r>
        <w:rPr>
          <w:sz w:val="16"/>
        </w:rPr>
        <w:t>access,</w:t>
      </w:r>
      <w:r>
        <w:rPr>
          <w:spacing w:val="-2"/>
          <w:sz w:val="16"/>
        </w:rPr>
        <w:t> </w:t>
      </w:r>
      <w:r>
        <w:rPr>
          <w:sz w:val="16"/>
        </w:rPr>
        <w:t>recreation,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tourism (e.g., capital projects, research and analysis, policies and regulations, education and outreach strategies, acquisitions, tax incentive</w:t>
      </w:r>
      <w:r>
        <w:rPr>
          <w:spacing w:val="40"/>
          <w:sz w:val="16"/>
        </w:rPr>
        <w:t> </w:t>
      </w:r>
      <w:r>
        <w:rPr>
          <w:sz w:val="16"/>
        </w:rPr>
        <w:t>programs,</w:t>
      </w:r>
      <w:r>
        <w:rPr>
          <w:spacing w:val="-5"/>
          <w:sz w:val="16"/>
        </w:rPr>
        <w:t> </w:t>
      </w:r>
      <w:r>
        <w:rPr>
          <w:sz w:val="16"/>
        </w:rPr>
        <w:t>etc.).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15840"/>
          <w:pgMar w:top="1400" w:bottom="280" w:left="1080" w:right="1440"/>
        </w:sectPr>
      </w:pP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80" w:val="left" w:leader="none"/>
        </w:tabs>
        <w:spacing w:line="240" w:lineRule="auto" w:before="39" w:after="0"/>
        <w:ind w:left="1080" w:right="684" w:hanging="361"/>
        <w:jc w:val="left"/>
        <w:rPr>
          <w:sz w:val="22"/>
        </w:rPr>
      </w:pP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existing</w:t>
      </w:r>
      <w:r>
        <w:rPr>
          <w:spacing w:val="-3"/>
          <w:sz w:val="22"/>
        </w:rPr>
        <w:t> </w:t>
      </w:r>
      <w:r>
        <w:rPr>
          <w:sz w:val="22"/>
        </w:rPr>
        <w:t>grant</w:t>
      </w:r>
      <w:r>
        <w:rPr>
          <w:spacing w:val="-2"/>
          <w:sz w:val="22"/>
        </w:rPr>
        <w:t> </w:t>
      </w:r>
      <w:r>
        <w:rPr>
          <w:sz w:val="22"/>
        </w:rPr>
        <w:t>programs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variety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partners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shape</w:t>
      </w:r>
      <w:r>
        <w:rPr>
          <w:spacing w:val="-2"/>
          <w:sz w:val="22"/>
        </w:rPr>
        <w:t> </w:t>
      </w:r>
      <w:r>
        <w:rPr>
          <w:sz w:val="22"/>
        </w:rPr>
        <w:t>guidelines</w:t>
      </w:r>
      <w:r>
        <w:rPr>
          <w:spacing w:val="-2"/>
          <w:sz w:val="22"/>
        </w:rPr>
        <w:t> </w:t>
      </w:r>
      <w:r>
        <w:rPr>
          <w:sz w:val="22"/>
        </w:rPr>
        <w:t>for eligible resilience project types, activities, characteristics, and intended outcomes.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79" w:val="left" w:leader="none"/>
        </w:tabs>
        <w:spacing w:line="240" w:lineRule="auto" w:before="0" w:after="0"/>
        <w:ind w:left="1079" w:right="164" w:hanging="360"/>
        <w:jc w:val="left"/>
        <w:rPr>
          <w:sz w:val="22"/>
        </w:rPr>
      </w:pP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guidelines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COHORT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communities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jointly</w:t>
      </w:r>
      <w:r>
        <w:rPr>
          <w:spacing w:val="-3"/>
          <w:sz w:val="22"/>
        </w:rPr>
        <w:t> </w:t>
      </w:r>
      <w:r>
        <w:rPr>
          <w:sz w:val="22"/>
        </w:rPr>
        <w:t>produce</w:t>
      </w:r>
      <w:r>
        <w:rPr>
          <w:spacing w:val="-2"/>
          <w:sz w:val="22"/>
        </w:rPr>
        <w:t> </w:t>
      </w:r>
      <w:r>
        <w:rPr>
          <w:sz w:val="22"/>
        </w:rPr>
        <w:t>resilience </w:t>
      </w:r>
      <w:r>
        <w:rPr>
          <w:spacing w:val="-2"/>
          <w:sz w:val="22"/>
        </w:rPr>
        <w:t>projects.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  <w:tab w:pos="1079" w:val="left" w:leader="none"/>
        </w:tabs>
        <w:spacing w:line="240" w:lineRule="auto" w:before="0" w:after="0"/>
        <w:ind w:left="1079" w:right="287" w:hanging="361"/>
        <w:jc w:val="left"/>
        <w:rPr>
          <w:sz w:val="22"/>
        </w:rPr>
      </w:pP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inform</w:t>
      </w:r>
      <w:r>
        <w:rPr>
          <w:spacing w:val="-2"/>
          <w:sz w:val="22"/>
        </w:rPr>
        <w:t> </w:t>
      </w:r>
      <w:r>
        <w:rPr>
          <w:sz w:val="22"/>
        </w:rPr>
        <w:t>recommendations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Governor,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Legislature,</w:t>
      </w:r>
      <w:r>
        <w:rPr>
          <w:spacing w:val="-3"/>
          <w:sz w:val="22"/>
        </w:rPr>
        <w:t> </w:t>
      </w:r>
      <w:r>
        <w:rPr>
          <w:sz w:val="22"/>
        </w:rPr>
        <w:t>and state and local agencies on future investments.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400" w:bottom="280" w:left="1080" w:right="1440"/>
        </w:sectPr>
      </w:pPr>
    </w:p>
    <w:p>
      <w:pPr>
        <w:pStyle w:val="Heading1"/>
        <w:spacing w:before="52"/>
      </w:pPr>
      <w:r>
        <w:rPr/>
        <w:t>Project</w:t>
      </w:r>
      <w:r>
        <w:rPr>
          <w:spacing w:val="1"/>
        </w:rPr>
        <w:t> </w:t>
      </w:r>
      <w:r>
        <w:rPr>
          <w:spacing w:val="-2"/>
        </w:rPr>
        <w:t>Partners:</w:t>
      </w:r>
    </w:p>
    <w:p>
      <w:pPr>
        <w:pStyle w:val="BodyText"/>
        <w:ind w:left="360" w:right="1734"/>
      </w:pPr>
      <w:r>
        <w:rPr/>
        <w:t>Office of the Governor Washington Sea Grant The</w:t>
      </w:r>
      <w:r>
        <w:rPr>
          <w:spacing w:val="-13"/>
        </w:rPr>
        <w:t> </w:t>
      </w:r>
      <w:r>
        <w:rPr/>
        <w:t>Nature</w:t>
      </w:r>
      <w:r>
        <w:rPr>
          <w:spacing w:val="-12"/>
        </w:rPr>
        <w:t> </w:t>
      </w:r>
      <w:r>
        <w:rPr/>
        <w:t>Conservancy FEMA Region X</w:t>
      </w:r>
    </w:p>
    <w:p>
      <w:pPr>
        <w:pStyle w:val="BodyText"/>
        <w:ind w:left="360"/>
      </w:pPr>
      <w:r>
        <w:rPr/>
        <w:t>State Emergency Management Division Washington</w:t>
      </w:r>
      <w:r>
        <w:rPr>
          <w:spacing w:val="-10"/>
        </w:rPr>
        <w:t> </w:t>
      </w:r>
      <w:r>
        <w:rPr/>
        <w:t>Coastal</w:t>
      </w:r>
      <w:r>
        <w:rPr>
          <w:spacing w:val="-9"/>
        </w:rPr>
        <w:t> </w:t>
      </w:r>
      <w:r>
        <w:rPr/>
        <w:t>Marine</w:t>
      </w:r>
      <w:r>
        <w:rPr>
          <w:spacing w:val="-8"/>
        </w:rPr>
        <w:t> </w:t>
      </w:r>
      <w:r>
        <w:rPr/>
        <w:t>Advisory</w:t>
      </w:r>
      <w:r>
        <w:rPr>
          <w:spacing w:val="-10"/>
        </w:rPr>
        <w:t> </w:t>
      </w:r>
      <w:r>
        <w:rPr/>
        <w:t>Council State Department of Natural Resources</w:t>
      </w:r>
    </w:p>
    <w:p>
      <w:pPr>
        <w:pStyle w:val="BodyText"/>
        <w:spacing w:before="75"/>
      </w:pPr>
      <w:r>
        <w:rPr/>
        <w:br w:type="column"/>
      </w:r>
      <w:r>
        <w:rPr/>
      </w:r>
    </w:p>
    <w:p>
      <w:pPr>
        <w:pStyle w:val="BodyText"/>
        <w:ind w:left="360" w:right="909"/>
      </w:pPr>
      <w:r>
        <w:rPr/>
        <w:t>State</w:t>
      </w:r>
      <w:r>
        <w:rPr>
          <w:spacing w:val="-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 Commerce Pacific</w:t>
      </w:r>
      <w:r>
        <w:rPr>
          <w:spacing w:val="-5"/>
        </w:rPr>
        <w:t> </w:t>
      </w:r>
      <w:r>
        <w:rPr/>
        <w:t>Coast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>
          <w:spacing w:val="-2"/>
        </w:rPr>
        <w:t>Governments</w:t>
      </w:r>
    </w:p>
    <w:p>
      <w:pPr>
        <w:pStyle w:val="BodyText"/>
        <w:spacing w:before="1"/>
        <w:ind w:left="360" w:right="465"/>
      </w:pPr>
      <w:r>
        <w:rPr/>
        <w:t>Washington</w:t>
      </w:r>
      <w:r>
        <w:rPr>
          <w:spacing w:val="-13"/>
        </w:rPr>
        <w:t> </w:t>
      </w:r>
      <w:r>
        <w:rPr/>
        <w:t>Marine</w:t>
      </w:r>
      <w:r>
        <w:rPr>
          <w:spacing w:val="-12"/>
        </w:rPr>
        <w:t> </w:t>
      </w:r>
      <w:r>
        <w:rPr/>
        <w:t>Resource</w:t>
      </w:r>
      <w:r>
        <w:rPr>
          <w:spacing w:val="-12"/>
        </w:rPr>
        <w:t> </w:t>
      </w:r>
      <w:r>
        <w:rPr/>
        <w:t>Committees Washington State Parks &amp; Recreation </w:t>
      </w:r>
      <w:r>
        <w:rPr>
          <w:spacing w:val="-2"/>
        </w:rPr>
        <w:t>Tribes</w:t>
      </w:r>
    </w:p>
    <w:p>
      <w:pPr>
        <w:pStyle w:val="BodyText"/>
        <w:ind w:left="360"/>
      </w:pPr>
      <w:r>
        <w:rPr/>
        <w:t>U.S.</w:t>
      </w:r>
      <w:r>
        <w:rPr>
          <w:spacing w:val="-2"/>
        </w:rPr>
        <w:t> </w:t>
      </w:r>
      <w:r>
        <w:rPr/>
        <w:t>Army</w:t>
      </w:r>
      <w:r>
        <w:rPr>
          <w:spacing w:val="-2"/>
        </w:rPr>
        <w:t> </w:t>
      </w:r>
      <w:r>
        <w:rPr/>
        <w:t>Corps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Engineers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080" w:right="1440"/>
          <w:cols w:num="2" w:equalWidth="0">
            <w:col w:w="4410" w:space="630"/>
            <w:col w:w="4680"/>
          </w:cols>
        </w:sectPr>
      </w:pPr>
    </w:p>
    <w:p>
      <w:pPr>
        <w:pStyle w:val="Heading1"/>
        <w:spacing w:before="270"/>
        <w:jc w:val="both"/>
      </w:pPr>
      <w:r>
        <w:rPr/>
        <w:t>Fellow</w:t>
      </w:r>
      <w:r>
        <w:rPr>
          <w:spacing w:val="-3"/>
        </w:rPr>
        <w:t> </w:t>
      </w:r>
      <w:r>
        <w:rPr/>
        <w:t>Mentoring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Agency</w:t>
      </w:r>
      <w:r>
        <w:rPr>
          <w:spacing w:val="-1"/>
        </w:rPr>
        <w:t> </w:t>
      </w:r>
      <w:r>
        <w:rPr>
          <w:spacing w:val="-2"/>
        </w:rPr>
        <w:t>Connections</w:t>
      </w:r>
    </w:p>
    <w:p>
      <w:pPr>
        <w:pStyle w:val="BodyText"/>
        <w:ind w:left="360" w:right="196"/>
        <w:jc w:val="both"/>
      </w:pPr>
      <w:r>
        <w:rPr/>
        <w:t>The</w:t>
      </w:r>
      <w:r>
        <w:rPr>
          <w:spacing w:val="-1"/>
        </w:rPr>
        <w:t> </w:t>
      </w:r>
      <w:r>
        <w:rPr/>
        <w:t>Fellow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work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Shorelands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 Ecology in</w:t>
      </w:r>
      <w:r>
        <w:rPr>
          <w:spacing w:val="-4"/>
        </w:rPr>
        <w:t> </w:t>
      </w:r>
      <w:r>
        <w:rPr/>
        <w:t>Olympia,</w:t>
      </w:r>
      <w:r>
        <w:rPr>
          <w:spacing w:val="-3"/>
        </w:rPr>
        <w:t> </w:t>
      </w:r>
      <w:r>
        <w:rPr/>
        <w:t>WA.</w:t>
      </w:r>
      <w:r>
        <w:rPr>
          <w:spacing w:val="-1"/>
        </w:rPr>
        <w:t> </w:t>
      </w:r>
      <w:r>
        <w:rPr/>
        <w:t>The fellow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have a</w:t>
      </w:r>
      <w:r>
        <w:rPr>
          <w:spacing w:val="-3"/>
        </w:rPr>
        <w:t> </w:t>
      </w:r>
      <w:r>
        <w:rPr/>
        <w:t>mentor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supervisor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oversee activities</w:t>
      </w:r>
      <w:r>
        <w:rPr>
          <w:spacing w:val="-1"/>
        </w:rPr>
        <w:t> </w:t>
      </w:r>
      <w:r>
        <w:rPr/>
        <w:t>and guide development.</w:t>
      </w:r>
    </w:p>
    <w:p>
      <w:pPr>
        <w:pStyle w:val="BodyText"/>
        <w:spacing w:before="267"/>
        <w:ind w:left="359"/>
      </w:pPr>
      <w:r>
        <w:rPr/>
        <w:t>The fellow will have a tailored Performance and Development Plan that provides a comprehensive and integrated approach to managing the relationship between mentors and fellows, evaluating fellows’ progress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tasks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growth,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clear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open</w:t>
      </w:r>
      <w:r>
        <w:rPr>
          <w:spacing w:val="-3"/>
        </w:rPr>
        <w:t> </w:t>
      </w:r>
      <w:r>
        <w:rPr/>
        <w:t>discussions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opportunities for improvement - using goal-setting, self-evaluation, and supplemental information. These elements establish the foundation for a successful fellowship and career.</w:t>
      </w:r>
    </w:p>
    <w:p>
      <w:pPr>
        <w:pStyle w:val="BodyText"/>
        <w:spacing w:before="267"/>
        <w:ind w:left="359"/>
      </w:pPr>
      <w:r>
        <w:rPr/>
        <w:t>The fellow will be part of a multi-agency team working on hazards resilience, including another Washington</w:t>
      </w:r>
      <w:r>
        <w:rPr>
          <w:spacing w:val="-1"/>
        </w:rPr>
        <w:t> </w:t>
      </w:r>
      <w:r>
        <w:rPr/>
        <w:t>Sea Grant</w:t>
      </w:r>
      <w:r>
        <w:rPr>
          <w:spacing w:val="-2"/>
        </w:rPr>
        <w:t> </w:t>
      </w:r>
      <w:r>
        <w:rPr/>
        <w:t>Fellow at Ecology.</w:t>
      </w:r>
      <w:r>
        <w:rPr>
          <w:spacing w:val="-3"/>
        </w:rPr>
        <w:t> </w:t>
      </w:r>
      <w:r>
        <w:rPr/>
        <w:t>This team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supported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 range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coastal</w:t>
      </w:r>
      <w:r>
        <w:rPr>
          <w:spacing w:val="-3"/>
        </w:rPr>
        <w:t> </w:t>
      </w:r>
      <w:r>
        <w:rPr/>
        <w:t>management experts,</w:t>
      </w:r>
      <w:r>
        <w:rPr>
          <w:spacing w:val="-3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ocean</w:t>
      </w:r>
      <w:r>
        <w:rPr>
          <w:spacing w:val="-5"/>
        </w:rPr>
        <w:t> </w:t>
      </w:r>
      <w:r>
        <w:rPr/>
        <w:t>policy,</w:t>
      </w:r>
      <w:r>
        <w:rPr>
          <w:spacing w:val="-4"/>
        </w:rPr>
        <w:t> </w:t>
      </w:r>
      <w:r>
        <w:rPr/>
        <w:t>shoreline</w:t>
      </w:r>
      <w:r>
        <w:rPr>
          <w:spacing w:val="-5"/>
        </w:rPr>
        <w:t> </w:t>
      </w:r>
      <w:r>
        <w:rPr/>
        <w:t>management,</w:t>
      </w:r>
      <w:r>
        <w:rPr>
          <w:spacing w:val="-4"/>
        </w:rPr>
        <w:t> </w:t>
      </w:r>
      <w:r>
        <w:rPr/>
        <w:t>coastal</w:t>
      </w:r>
      <w:r>
        <w:rPr>
          <w:spacing w:val="-4"/>
        </w:rPr>
        <w:t> </w:t>
      </w:r>
      <w:r>
        <w:rPr/>
        <w:t>geology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engineering,</w:t>
      </w:r>
      <w:r>
        <w:rPr>
          <w:spacing w:val="-4"/>
        </w:rPr>
        <w:t> </w:t>
      </w:r>
      <w:r>
        <w:rPr/>
        <w:t>floodplain management, wetlands and critical areas, and legislative engagement professionals.</w:t>
      </w:r>
    </w:p>
    <w:p>
      <w:pPr>
        <w:pStyle w:val="BodyText"/>
        <w:spacing w:before="1"/>
      </w:pPr>
    </w:p>
    <w:p>
      <w:pPr>
        <w:pStyle w:val="BodyText"/>
        <w:ind w:left="359" w:right="101"/>
      </w:pPr>
      <w:r>
        <w:rPr/>
        <w:t>The Fellow will be encouraged to attend relevant coordination meetings, trainings or other opportunities to gain exposure and understanding of how government and non-governmental organizations work on regional coastal management. When opportunities arise, the Fellow will be encouraged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audiences.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connect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fellow to state, regional, and national partners and encourage coordinated participation in larger resilience conversations centered on fundamental and unified approaches to protecting resources, people, and </w:t>
      </w:r>
      <w:r>
        <w:rPr>
          <w:spacing w:val="-2"/>
        </w:rPr>
        <w:t>systems.</w:t>
      </w:r>
    </w:p>
    <w:sectPr>
      <w:type w:val="continuous"/>
      <w:pgSz w:w="12240" w:h="15840"/>
      <w:pgMar w:top="14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 w:line="293" w:lineRule="exact"/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WA Department of Ecology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Levkowitz, Michael (ECY)</dc:creator>
  <dc:description/>
  <dcterms:created xsi:type="dcterms:W3CDTF">2026-02-28T00:34:36Z</dcterms:created>
  <dcterms:modified xsi:type="dcterms:W3CDTF">2026-02-28T00:34:36Z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2026-02-28T00:00:00Z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D:20190405000416</vt:lpwstr>
  </property>
</Properties>
</file>