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16"/>
        <w:rPr>
          <w:rFonts w:ascii="Times New Roman"/>
        </w:rPr>
      </w:pPr>
    </w:p>
    <w:p>
      <w:pPr>
        <w:pStyle w:val="BodyText"/>
        <w:spacing w:before="1"/>
        <w:ind w:left="720"/>
        <w:rPr>
          <w:rFonts w:ascii="Franklin Gothic Medium"/>
        </w:rPr>
      </w:pPr>
      <w:r>
        <w:rPr>
          <w:rFonts w:ascii="Franklin Gothic Medium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-483839</wp:posOffset>
            </wp:positionV>
            <wp:extent cx="7772400" cy="2654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4945379</wp:posOffset>
            </wp:positionH>
            <wp:positionV relativeFrom="paragraph">
              <wp:posOffset>3827</wp:posOffset>
            </wp:positionV>
            <wp:extent cx="2317113" cy="134548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113" cy="134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/>
        </w:rPr>
        <w:t>Intern</w:t>
      </w:r>
      <w:r>
        <w:rPr>
          <w:rFonts w:ascii="Franklin Gothic Medium"/>
          <w:spacing w:val="-4"/>
        </w:rPr>
        <w:t> </w:t>
      </w:r>
      <w:r>
        <w:rPr>
          <w:rFonts w:ascii="Franklin Gothic Medium"/>
        </w:rPr>
        <w:t>Name: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Casera</w:t>
      </w:r>
      <w:r>
        <w:rPr>
          <w:rFonts w:ascii="Franklin Gothic Medium"/>
          <w:spacing w:val="-3"/>
        </w:rPr>
        <w:t> </w:t>
      </w:r>
      <w:r>
        <w:rPr>
          <w:rFonts w:ascii="Franklin Gothic Medium"/>
          <w:spacing w:val="-4"/>
        </w:rPr>
        <w:t>Pinto</w:t>
      </w:r>
    </w:p>
    <w:p>
      <w:pPr>
        <w:pStyle w:val="BodyText"/>
        <w:spacing w:line="276" w:lineRule="auto" w:before="42"/>
        <w:ind w:left="720" w:right="7003"/>
        <w:rPr>
          <w:rFonts w:ascii="Franklin Gothic Medium"/>
        </w:rPr>
      </w:pPr>
      <w:r>
        <w:rPr>
          <w:rFonts w:ascii="Franklin Gothic Medium"/>
        </w:rPr>
        <w:t>Major:</w:t>
      </w:r>
      <w:r>
        <w:rPr>
          <w:rFonts w:ascii="Franklin Gothic Medium"/>
          <w:spacing w:val="-11"/>
        </w:rPr>
        <w:t> </w:t>
      </w:r>
      <w:r>
        <w:rPr>
          <w:rFonts w:ascii="Franklin Gothic Medium"/>
        </w:rPr>
        <w:t>B.S.</w:t>
      </w:r>
      <w:r>
        <w:rPr>
          <w:rFonts w:ascii="Franklin Gothic Medium"/>
          <w:spacing w:val="-14"/>
        </w:rPr>
        <w:t> </w:t>
      </w:r>
      <w:r>
        <w:rPr>
          <w:rFonts w:ascii="Franklin Gothic Medium"/>
        </w:rPr>
        <w:t>Environmental</w:t>
      </w:r>
      <w:r>
        <w:rPr>
          <w:rFonts w:ascii="Franklin Gothic Medium"/>
          <w:spacing w:val="-14"/>
        </w:rPr>
        <w:t> </w:t>
      </w:r>
      <w:r>
        <w:rPr>
          <w:rFonts w:ascii="Franklin Gothic Medium"/>
        </w:rPr>
        <w:t>Engineering Minor: Climate Science</w:t>
      </w:r>
    </w:p>
    <w:p>
      <w:pPr>
        <w:pStyle w:val="BodyText"/>
        <w:spacing w:line="276" w:lineRule="auto"/>
        <w:ind w:left="720" w:right="6361"/>
        <w:rPr>
          <w:rFonts w:ascii="Franklin Gothic Medium"/>
        </w:rPr>
      </w:pPr>
      <w:r>
        <w:rPr>
          <w:rFonts w:ascii="Franklin Gothic Medium"/>
        </w:rPr>
        <w:t>School: University of Washington, Seattle Business: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Taylor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Farms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Northwest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- Kent,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WA Industry: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Food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Manufacturing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and</w:t>
      </w:r>
      <w:r>
        <w:rPr>
          <w:rFonts w:ascii="Franklin Gothic Medium"/>
          <w:spacing w:val="-4"/>
        </w:rPr>
        <w:t> </w:t>
      </w:r>
      <w:r>
        <w:rPr>
          <w:rFonts w:ascii="Franklin Gothic Medium"/>
          <w:spacing w:val="-2"/>
        </w:rPr>
        <w:t>Processing</w:t>
      </w:r>
    </w:p>
    <w:p>
      <w:pPr>
        <w:pStyle w:val="BodyText"/>
        <w:spacing w:line="272" w:lineRule="exact"/>
        <w:ind w:left="720"/>
        <w:rPr>
          <w:rFonts w:ascii="Franklin Gothic Medium"/>
        </w:rPr>
      </w:pPr>
      <w:r>
        <w:rPr>
          <w:rFonts w:ascii="Franklin Gothic Medium"/>
        </w:rPr>
        <w:t>WASI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Project: Water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Usage</w:t>
      </w:r>
      <w:r>
        <w:rPr>
          <w:rFonts w:ascii="Franklin Gothic Medium"/>
          <w:spacing w:val="-4"/>
        </w:rPr>
        <w:t> </w:t>
      </w:r>
      <w:r>
        <w:rPr>
          <w:rFonts w:ascii="Franklin Gothic Medium"/>
        </w:rPr>
        <w:t>and</w:t>
      </w:r>
      <w:r>
        <w:rPr>
          <w:rFonts w:ascii="Franklin Gothic Medium"/>
          <w:spacing w:val="-2"/>
        </w:rPr>
        <w:t> </w:t>
      </w:r>
      <w:r>
        <w:rPr>
          <w:rFonts w:ascii="Franklin Gothic Medium"/>
        </w:rPr>
        <w:t>Waste</w:t>
      </w:r>
      <w:r>
        <w:rPr>
          <w:rFonts w:ascii="Franklin Gothic Medium"/>
          <w:spacing w:val="-4"/>
        </w:rPr>
        <w:t> </w:t>
      </w:r>
      <w:r>
        <w:rPr>
          <w:rFonts w:ascii="Franklin Gothic Medium"/>
        </w:rPr>
        <w:t>Output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spacing w:val="-2"/>
        </w:rPr>
        <w:t>Reduction</w:t>
      </w: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spacing w:before="88"/>
        <w:rPr>
          <w:rFonts w:ascii="Franklin Gothic Medium"/>
          <w:sz w:val="20"/>
        </w:rPr>
      </w:pPr>
      <w:r>
        <w:rPr>
          <w:rFonts w:ascii="Franklin Gothic Medium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215532</wp:posOffset>
                </wp:positionV>
                <wp:extent cx="7315200" cy="381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15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38100">
                              <a:moveTo>
                                <a:pt x="731519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315198" y="38100"/>
                              </a:lnTo>
                              <a:lnTo>
                                <a:pt x="7315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8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2pt;margin-top:16.971081pt;width:575.9999pt;height:3pt;mso-position-horizontal-relative:page;mso-position-vertical-relative:paragraph;z-index:-15728640;mso-wrap-distance-left:0;mso-wrap-distance-right:0" id="docshape1" filled="true" fillcolor="#44688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54"/>
      </w:pPr>
      <w:bookmarkStart w:name="Company Description" w:id="1"/>
      <w:bookmarkEnd w:id="1"/>
      <w:r>
        <w:rPr>
          <w:b w:val="0"/>
        </w:rPr>
      </w:r>
      <w:r>
        <w:rPr>
          <w:color w:val="44688F"/>
        </w:rPr>
        <w:t>Company</w:t>
      </w:r>
      <w:r>
        <w:rPr>
          <w:color w:val="44688F"/>
          <w:spacing w:val="-5"/>
        </w:rPr>
        <w:t> </w:t>
      </w:r>
      <w:r>
        <w:rPr>
          <w:color w:val="44688F"/>
          <w:spacing w:val="-2"/>
        </w:rPr>
        <w:t>Description</w:t>
      </w:r>
    </w:p>
    <w:p>
      <w:pPr>
        <w:pStyle w:val="BodyText"/>
        <w:spacing w:line="259" w:lineRule="auto" w:before="120"/>
        <w:ind w:left="1440" w:right="1109"/>
        <w:jc w:val="both"/>
      </w:pPr>
      <w:r>
        <w:rPr/>
        <w:t>Taylor Farms is a premier processor of salads and healthy</w:t>
      </w:r>
      <w:r>
        <w:rPr>
          <w:spacing w:val="-1"/>
        </w:rPr>
        <w:t> </w:t>
      </w:r>
      <w:r>
        <w:rPr/>
        <w:t>fresh foods supplying many supermarket chains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restaurants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States.</w:t>
      </w:r>
      <w:r>
        <w:rPr>
          <w:spacing w:val="-3"/>
        </w:rPr>
        <w:t> </w:t>
      </w:r>
      <w:r>
        <w:rPr/>
        <w:t>It’s</w:t>
      </w:r>
      <w:r>
        <w:rPr>
          <w:spacing w:val="-6"/>
        </w:rPr>
        <w:t> </w:t>
      </w:r>
      <w:r>
        <w:rPr/>
        <w:t>headquartered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Salinas,</w:t>
      </w:r>
      <w:r>
        <w:rPr>
          <w:spacing w:val="-2"/>
        </w:rPr>
        <w:t> </w:t>
      </w:r>
      <w:r>
        <w:rPr/>
        <w:t>CA,</w:t>
      </w:r>
      <w:r>
        <w:rPr>
          <w:spacing w:val="-2"/>
        </w:rPr>
        <w:t> </w:t>
      </w:r>
      <w:r>
        <w:rPr/>
        <w:t>operates twenty-six processing plants nationwide, and employs over 20,000 workers.</w:t>
      </w:r>
    </w:p>
    <w:p>
      <w:pPr>
        <w:pStyle w:val="BodyText"/>
        <w:spacing w:line="259" w:lineRule="auto" w:before="160"/>
        <w:ind w:left="1439" w:right="643"/>
      </w:pPr>
      <w:r>
        <w:rPr/>
        <w:t>Taylor</w:t>
      </w:r>
      <w:r>
        <w:rPr>
          <w:spacing w:val="-1"/>
        </w:rPr>
        <w:t> </w:t>
      </w:r>
      <w:r>
        <w:rPr/>
        <w:t>Farms</w:t>
      </w:r>
      <w:r>
        <w:rPr>
          <w:spacing w:val="-4"/>
        </w:rPr>
        <w:t> </w:t>
      </w:r>
      <w:r>
        <w:rPr/>
        <w:t>Northwest,</w:t>
      </w:r>
      <w:r>
        <w:rPr>
          <w:spacing w:val="-4"/>
        </w:rPr>
        <w:t> </w:t>
      </w:r>
      <w:r>
        <w:rPr/>
        <w:t>located in Kent,</w:t>
      </w:r>
      <w:r>
        <w:rPr>
          <w:spacing w:val="-4"/>
        </w:rPr>
        <w:t> </w:t>
      </w:r>
      <w:r>
        <w:rPr/>
        <w:t>WA,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500</w:t>
      </w:r>
      <w:r>
        <w:rPr>
          <w:spacing w:val="-3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focused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deli</w:t>
      </w:r>
      <w:r>
        <w:rPr>
          <w:spacing w:val="-4"/>
        </w:rPr>
        <w:t> </w:t>
      </w:r>
      <w:r>
        <w:rPr/>
        <w:t>food production sector of Taylor Farms. The packaged foods are stored in a refrigerated warehouse until shipped to the retail outlets.</w:t>
      </w:r>
    </w:p>
    <w:p>
      <w:pPr>
        <w:pStyle w:val="BodyText"/>
        <w:spacing w:before="184"/>
      </w:pPr>
    </w:p>
    <w:p>
      <w:pPr>
        <w:pStyle w:val="Heading1"/>
      </w:pPr>
      <w:bookmarkStart w:name="Incentives to change" w:id="2"/>
      <w:bookmarkEnd w:id="2"/>
      <w:r>
        <w:rPr>
          <w:b w:val="0"/>
        </w:rPr>
      </w:r>
      <w:r>
        <w:rPr>
          <w:color w:val="44688F"/>
        </w:rPr>
        <w:t>Incentives</w:t>
      </w:r>
      <w:r>
        <w:rPr>
          <w:color w:val="44688F"/>
          <w:spacing w:val="-4"/>
        </w:rPr>
        <w:t> </w:t>
      </w:r>
      <w:r>
        <w:rPr>
          <w:color w:val="44688F"/>
        </w:rPr>
        <w:t>to</w:t>
      </w:r>
      <w:r>
        <w:rPr>
          <w:color w:val="44688F"/>
          <w:spacing w:val="-3"/>
        </w:rPr>
        <w:t> </w:t>
      </w:r>
      <w:r>
        <w:rPr>
          <w:color w:val="44688F"/>
          <w:spacing w:val="-2"/>
        </w:rPr>
        <w:t>change</w:t>
      </w:r>
    </w:p>
    <w:p>
      <w:pPr>
        <w:pStyle w:val="BodyText"/>
        <w:spacing w:line="259" w:lineRule="auto" w:before="120"/>
        <w:ind w:left="1440" w:right="643"/>
      </w:pPr>
      <w:r>
        <w:rPr/>
        <w:t>Taylor</w:t>
      </w:r>
      <w:r>
        <w:rPr>
          <w:spacing w:val="-2"/>
        </w:rPr>
        <w:t> </w:t>
      </w:r>
      <w:r>
        <w:rPr/>
        <w:t>Farms</w:t>
      </w:r>
      <w:r>
        <w:rPr>
          <w:spacing w:val="-5"/>
        </w:rPr>
        <w:t> </w:t>
      </w:r>
      <w:r>
        <w:rPr/>
        <w:t>Northwest’s</w:t>
      </w:r>
      <w:r>
        <w:rPr>
          <w:spacing w:val="-3"/>
        </w:rPr>
        <w:t> </w:t>
      </w:r>
      <w:r>
        <w:rPr/>
        <w:t>"Healthy</w:t>
      </w:r>
      <w:r>
        <w:rPr>
          <w:spacing w:val="-6"/>
        </w:rPr>
        <w:t> </w:t>
      </w:r>
      <w:r>
        <w:rPr/>
        <w:t>Environment,</w:t>
      </w:r>
      <w:r>
        <w:rPr>
          <w:spacing w:val="-5"/>
        </w:rPr>
        <w:t> </w:t>
      </w:r>
      <w:r>
        <w:rPr/>
        <w:t>Healthy</w:t>
      </w:r>
      <w:r>
        <w:rPr>
          <w:spacing w:val="-3"/>
        </w:rPr>
        <w:t> </w:t>
      </w:r>
      <w:r>
        <w:rPr/>
        <w:t>Community,</w:t>
      </w:r>
      <w:r>
        <w:rPr>
          <w:spacing w:val="-2"/>
        </w:rPr>
        <w:t> </w:t>
      </w:r>
      <w:r>
        <w:rPr/>
        <w:t>Healthy</w:t>
      </w:r>
      <w:r>
        <w:rPr>
          <w:spacing w:val="-3"/>
        </w:rPr>
        <w:t> </w:t>
      </w:r>
      <w:r>
        <w:rPr/>
        <w:t>Business"</w:t>
      </w:r>
      <w:r>
        <w:rPr>
          <w:spacing w:val="-3"/>
        </w:rPr>
        <w:t> </w:t>
      </w:r>
      <w:r>
        <w:rPr/>
        <w:t>motto</w:t>
      </w:r>
      <w:r>
        <w:rPr>
          <w:spacing w:val="-2"/>
        </w:rPr>
        <w:t> </w:t>
      </w:r>
      <w:r>
        <w:rPr/>
        <w:t>guides its commitment to environmental sustainability. They look for opportunities to invest in continuous improvement and sustainability initiatives, focusing on reducing water usage, waste output, and resource consumption.</w:t>
      </w:r>
    </w:p>
    <w:p>
      <w:pPr>
        <w:pStyle w:val="BodyText"/>
        <w:spacing w:before="188"/>
      </w:pPr>
    </w:p>
    <w:p>
      <w:pPr>
        <w:pStyle w:val="Heading1"/>
      </w:pPr>
      <w:bookmarkStart w:name="Project Description" w:id="3"/>
      <w:bookmarkEnd w:id="3"/>
      <w:r>
        <w:rPr>
          <w:b w:val="0"/>
        </w:rPr>
      </w:r>
      <w:r>
        <w:rPr>
          <w:color w:val="44688F"/>
        </w:rPr>
        <w:t>Project</w:t>
      </w:r>
      <w:r>
        <w:rPr>
          <w:color w:val="44688F"/>
          <w:spacing w:val="-6"/>
        </w:rPr>
        <w:t> </w:t>
      </w:r>
      <w:r>
        <w:rPr>
          <w:color w:val="44688F"/>
          <w:spacing w:val="-2"/>
        </w:rPr>
        <w:t>Description</w:t>
      </w:r>
    </w:p>
    <w:p>
      <w:pPr>
        <w:pStyle w:val="BodyText"/>
        <w:spacing w:line="259" w:lineRule="auto" w:before="120"/>
        <w:ind w:left="1440" w:right="643"/>
      </w:pPr>
      <w:r>
        <w:rPr/>
        <w:t>This project analyzed the plant operations to reduce waste output and water usage at Taylor Farms Northwest.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WASI</w:t>
      </w:r>
      <w:r>
        <w:rPr>
          <w:spacing w:val="-4"/>
        </w:rPr>
        <w:t> </w:t>
      </w:r>
      <w:r>
        <w:rPr/>
        <w:t>intern</w:t>
      </w:r>
      <w:r>
        <w:rPr>
          <w:spacing w:val="-2"/>
        </w:rPr>
        <w:t> </w:t>
      </w:r>
      <w:r>
        <w:rPr/>
        <w:t>identified</w:t>
      </w:r>
      <w:r>
        <w:rPr>
          <w:spacing w:val="-5"/>
        </w:rPr>
        <w:t> </w:t>
      </w:r>
      <w:r>
        <w:rPr/>
        <w:t>inefficiencies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engaging</w:t>
      </w:r>
      <w:r>
        <w:rPr>
          <w:spacing w:val="-6"/>
        </w:rPr>
        <w:t> </w:t>
      </w:r>
      <w:r>
        <w:rPr/>
        <w:t>with</w:t>
      </w:r>
      <w:r>
        <w:rPr>
          <w:spacing w:val="-2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departments</w:t>
      </w:r>
      <w:r>
        <w:rPr>
          <w:spacing w:val="-6"/>
        </w:rPr>
        <w:t> </w:t>
      </w:r>
      <w:r>
        <w:rPr/>
        <w:t>assessing current production workflows, tracing waste streams, observing overnight sanitation practices, and proposing targeted improvement projects in multiple areas.</w:t>
      </w:r>
    </w:p>
    <w:p>
      <w:pPr>
        <w:pStyle w:val="Heading2"/>
      </w:pPr>
      <w:bookmarkStart w:name="Recommendations" w:id="4"/>
      <w:bookmarkEnd w:id="4"/>
      <w:r>
        <w:rPr>
          <w:b w:val="0"/>
        </w:rPr>
      </w:r>
      <w:r>
        <w:rPr>
          <w:spacing w:val="-2"/>
        </w:rPr>
        <w:t>Recommendations</w:t>
      </w:r>
    </w:p>
    <w:p>
      <w:pPr>
        <w:pStyle w:val="Heading3"/>
      </w:pPr>
      <w:bookmarkStart w:name="Water Reduction Projects" w:id="5"/>
      <w:bookmarkEnd w:id="5"/>
      <w:r>
        <w:rPr>
          <w:b w:val="0"/>
        </w:rPr>
      </w:r>
      <w:r>
        <w:rPr/>
        <w:t>Water</w:t>
      </w:r>
      <w:r>
        <w:rPr>
          <w:spacing w:val="-7"/>
        </w:rPr>
        <w:t> </w:t>
      </w:r>
      <w:r>
        <w:rPr/>
        <w:t>Reduction</w:t>
      </w:r>
      <w:r>
        <w:rPr>
          <w:spacing w:val="-8"/>
        </w:rPr>
        <w:t> </w:t>
      </w:r>
      <w:r>
        <w:rPr>
          <w:spacing w:val="-2"/>
        </w:rPr>
        <w:t>Projects</w:t>
      </w:r>
    </w:p>
    <w:p>
      <w:pPr>
        <w:pStyle w:val="BodyText"/>
        <w:spacing w:line="259" w:lineRule="auto" w:before="120"/>
        <w:ind w:left="1439" w:right="858"/>
      </w:pPr>
      <w:r>
        <w:rPr/>
        <w:t>The WASI intern identified several water usage projects that could save Taylor Farms over $200,000 and</w:t>
      </w:r>
      <w:r>
        <w:rPr>
          <w:spacing w:val="-4"/>
        </w:rPr>
        <w:t> </w:t>
      </w:r>
      <w:r>
        <w:rPr/>
        <w:t>reduce</w:t>
      </w:r>
      <w:r>
        <w:rPr>
          <w:spacing w:val="-4"/>
        </w:rPr>
        <w:t> </w:t>
      </w:r>
      <w:r>
        <w:rPr/>
        <w:t>water</w:t>
      </w:r>
      <w:r>
        <w:rPr>
          <w:spacing w:val="-2"/>
        </w:rPr>
        <w:t> </w:t>
      </w:r>
      <w:r>
        <w:rPr/>
        <w:t>consumption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18.7</w:t>
      </w:r>
      <w:r>
        <w:rPr>
          <w:spacing w:val="-4"/>
        </w:rPr>
        <w:t> </w:t>
      </w:r>
      <w:r>
        <w:rPr/>
        <w:t>million</w:t>
      </w:r>
      <w:r>
        <w:rPr>
          <w:spacing w:val="-1"/>
        </w:rPr>
        <w:t> </w:t>
      </w:r>
      <w:r>
        <w:rPr/>
        <w:t>gallons</w:t>
      </w:r>
      <w:r>
        <w:rPr>
          <w:spacing w:val="-3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implemented.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a 6-month return on investment (ROI) period or shorter. The top recommended projects include:</w:t>
      </w:r>
    </w:p>
    <w:p>
      <w:pPr>
        <w:pStyle w:val="ListParagraph"/>
        <w:numPr>
          <w:ilvl w:val="0"/>
          <w:numId w:val="1"/>
        </w:numPr>
        <w:tabs>
          <w:tab w:pos="2087" w:val="left" w:leader="none"/>
        </w:tabs>
        <w:spacing w:line="240" w:lineRule="auto" w:before="159" w:after="0"/>
        <w:ind w:left="2087" w:right="1692" w:hanging="36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processing,</w:t>
      </w:r>
      <w:r>
        <w:rPr>
          <w:spacing w:val="-5"/>
          <w:sz w:val="24"/>
        </w:rPr>
        <w:t> </w:t>
      </w:r>
      <w:r>
        <w:rPr>
          <w:sz w:val="24"/>
        </w:rPr>
        <w:t>Taylor</w:t>
      </w:r>
      <w:r>
        <w:rPr>
          <w:spacing w:val="-1"/>
          <w:sz w:val="24"/>
        </w:rPr>
        <w:t> </w:t>
      </w:r>
      <w:r>
        <w:rPr>
          <w:sz w:val="24"/>
        </w:rPr>
        <w:t>Farms</w:t>
      </w:r>
      <w:r>
        <w:rPr>
          <w:spacing w:val="-4"/>
          <w:sz w:val="24"/>
        </w:rPr>
        <w:t> </w:t>
      </w:r>
      <w:r>
        <w:rPr>
          <w:sz w:val="24"/>
        </w:rPr>
        <w:t>uses</w:t>
      </w:r>
      <w:r>
        <w:rPr>
          <w:spacing w:val="-2"/>
          <w:sz w:val="24"/>
        </w:rPr>
        <w:t> </w:t>
      </w:r>
      <w:r>
        <w:rPr>
          <w:sz w:val="24"/>
        </w:rPr>
        <w:t>ice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fresh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cool</w:t>
      </w:r>
      <w:r>
        <w:rPr>
          <w:spacing w:val="-4"/>
          <w:sz w:val="24"/>
        </w:rPr>
        <w:t> </w:t>
      </w:r>
      <w:r>
        <w:rPr>
          <w:sz w:val="24"/>
        </w:rPr>
        <w:t>quickly.</w:t>
      </w:r>
      <w:r>
        <w:rPr>
          <w:spacing w:val="-2"/>
          <w:sz w:val="24"/>
        </w:rPr>
        <w:t> </w:t>
      </w:r>
      <w:r>
        <w:rPr>
          <w:sz w:val="24"/>
        </w:rPr>
        <w:t>Replacing water-cooled ice machines with air-cooled condensers will save $78,446 annually and reduce water consumption by nearly 10 million gallons.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2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2087" w:val="left" w:leader="none"/>
        </w:tabs>
        <w:spacing w:line="240" w:lineRule="auto" w:before="78" w:after="0"/>
        <w:ind w:left="2087" w:right="1414" w:hanging="360"/>
        <w:jc w:val="left"/>
        <w:rPr>
          <w:sz w:val="24"/>
        </w:rPr>
      </w:pPr>
      <w:r>
        <w:rPr>
          <w:sz w:val="24"/>
        </w:rPr>
        <w:t>Installing volumetric shut-off valves on the hoses used to sanitize barrels can save Taylor Farms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5.5</w:t>
      </w:r>
      <w:r>
        <w:rPr>
          <w:spacing w:val="-1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gallons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$44,000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year.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valves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shut</w:t>
      </w:r>
      <w:r>
        <w:rPr>
          <w:spacing w:val="-3"/>
          <w:sz w:val="24"/>
        </w:rPr>
        <w:t> </w:t>
      </w:r>
      <w:r>
        <w:rPr>
          <w:sz w:val="24"/>
        </w:rPr>
        <w:t>off after dispensing a preset volume of water allowing employees to attend to other tasks uninterrupted. This project has been approved and is pending purchase.</w:t>
      </w:r>
    </w:p>
    <w:p>
      <w:pPr>
        <w:pStyle w:val="ListParagraph"/>
        <w:numPr>
          <w:ilvl w:val="0"/>
          <w:numId w:val="1"/>
        </w:numPr>
        <w:tabs>
          <w:tab w:pos="2087" w:val="left" w:leader="none"/>
        </w:tabs>
        <w:spacing w:line="240" w:lineRule="auto" w:before="1" w:after="0"/>
        <w:ind w:left="2087" w:right="1403" w:hanging="360"/>
        <w:jc w:val="left"/>
        <w:rPr>
          <w:sz w:val="24"/>
        </w:rPr>
      </w:pPr>
      <w:r>
        <w:rPr>
          <w:sz w:val="24"/>
        </w:rPr>
        <w:t>Cleaning</w:t>
      </w:r>
      <w:r>
        <w:rPr>
          <w:spacing w:val="-5"/>
          <w:sz w:val="24"/>
        </w:rPr>
        <w:t> </w:t>
      </w:r>
      <w:r>
        <w:rPr>
          <w:sz w:val="24"/>
        </w:rPr>
        <w:t>production</w:t>
      </w:r>
      <w:r>
        <w:rPr>
          <w:spacing w:val="-4"/>
          <w:sz w:val="24"/>
        </w:rPr>
        <w:t> </w:t>
      </w:r>
      <w:r>
        <w:rPr>
          <w:sz w:val="24"/>
        </w:rPr>
        <w:t>floors</w:t>
      </w:r>
      <w:r>
        <w:rPr>
          <w:spacing w:val="-3"/>
          <w:sz w:val="24"/>
        </w:rPr>
        <w:t> </w:t>
      </w:r>
      <w:r>
        <w:rPr>
          <w:sz w:val="24"/>
        </w:rPr>
        <w:t>uses</w:t>
      </w:r>
      <w:r>
        <w:rPr>
          <w:spacing w:val="-3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hoses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trigger</w:t>
      </w:r>
      <w:r>
        <w:rPr>
          <w:spacing w:val="-5"/>
          <w:sz w:val="24"/>
        </w:rPr>
        <w:t> </w:t>
      </w:r>
      <w:r>
        <w:rPr>
          <w:sz w:val="24"/>
        </w:rPr>
        <w:t>handle</w:t>
      </w:r>
      <w:r>
        <w:rPr>
          <w:spacing w:val="-4"/>
          <w:sz w:val="24"/>
        </w:rPr>
        <w:t> </w:t>
      </w:r>
      <w:r>
        <w:rPr>
          <w:sz w:val="24"/>
        </w:rPr>
        <w:t>nozzles.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brooms use pressurized water to clean production floors and can be used for pre-rinsing, post-rinsing, and</w:t>
      </w:r>
      <w:r>
        <w:rPr>
          <w:spacing w:val="-1"/>
          <w:sz w:val="24"/>
        </w:rPr>
        <w:t> </w:t>
      </w:r>
      <w:r>
        <w:rPr>
          <w:sz w:val="24"/>
        </w:rPr>
        <w:t>sanitizing. Taylor Farms</w:t>
      </w:r>
      <w:r>
        <w:rPr>
          <w:spacing w:val="-2"/>
          <w:sz w:val="24"/>
        </w:rPr>
        <w:t> </w:t>
      </w:r>
      <w:r>
        <w:rPr>
          <w:sz w:val="24"/>
        </w:rPr>
        <w:t>has ordered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brooms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 trial basis. If the trial is successful, they will purchase eight additional water brooms saving 1.4 million gallons of water and $11,000 annually.</w:t>
      </w:r>
    </w:p>
    <w:p>
      <w:pPr>
        <w:pStyle w:val="BodyText"/>
        <w:spacing w:before="120"/>
        <w:ind w:left="1439"/>
      </w:pP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1: </w:t>
      </w:r>
      <w:r>
        <w:rPr/>
        <w:t>Water</w:t>
      </w:r>
      <w:r>
        <w:rPr>
          <w:spacing w:val="-4"/>
        </w:rPr>
        <w:t> </w:t>
      </w:r>
      <w:r>
        <w:rPr/>
        <w:t>usage</w:t>
      </w:r>
      <w:r>
        <w:rPr>
          <w:spacing w:val="-2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that could</w:t>
      </w:r>
      <w:r>
        <w:rPr>
          <w:spacing w:val="1"/>
        </w:rPr>
        <w:t> </w:t>
      </w:r>
      <w:r>
        <w:rPr/>
        <w:t>save</w:t>
      </w:r>
      <w:r>
        <w:rPr>
          <w:spacing w:val="-2"/>
        </w:rPr>
        <w:t> </w:t>
      </w:r>
      <w:r>
        <w:rPr/>
        <w:t>Taylor</w:t>
      </w:r>
      <w:r>
        <w:rPr>
          <w:spacing w:val="-1"/>
        </w:rPr>
        <w:t> </w:t>
      </w:r>
      <w:r>
        <w:rPr/>
        <w:t>Farms</w:t>
      </w:r>
      <w:r>
        <w:rPr>
          <w:spacing w:val="-1"/>
        </w:rPr>
        <w:t> </w:t>
      </w:r>
      <w:r>
        <w:rPr/>
        <w:t>money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reduce</w:t>
      </w:r>
      <w:r>
        <w:rPr>
          <w:spacing w:val="-2"/>
        </w:rPr>
        <w:t> </w:t>
      </w:r>
      <w:r>
        <w:rPr/>
        <w:t>water </w:t>
      </w:r>
      <w:r>
        <w:rPr>
          <w:spacing w:val="-2"/>
        </w:rPr>
        <w:t>consumption.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349"/>
        <w:gridCol w:w="1351"/>
        <w:gridCol w:w="1169"/>
        <w:gridCol w:w="1891"/>
        <w:gridCol w:w="1709"/>
      </w:tblGrid>
      <w:tr>
        <w:trPr>
          <w:trHeight w:val="757" w:hRule="atLeast"/>
        </w:trPr>
        <w:tc>
          <w:tcPr>
            <w:tcW w:w="2700" w:type="dxa"/>
            <w:shd w:val="clear" w:color="auto" w:fill="44688F"/>
          </w:tcPr>
          <w:p>
            <w:pPr>
              <w:pStyle w:val="TableParagraph"/>
              <w:spacing w:before="127"/>
              <w:ind w:left="943" w:right="122" w:hanging="55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Recommended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P2 </w:t>
            </w:r>
            <w:r>
              <w:rPr>
                <w:b/>
                <w:color w:val="FFFFFF"/>
                <w:spacing w:val="-2"/>
                <w:sz w:val="22"/>
              </w:rPr>
              <w:t>Actions</w:t>
            </w:r>
          </w:p>
        </w:tc>
        <w:tc>
          <w:tcPr>
            <w:tcW w:w="1349" w:type="dxa"/>
            <w:shd w:val="clear" w:color="auto" w:fill="44688F"/>
          </w:tcPr>
          <w:p>
            <w:pPr>
              <w:pStyle w:val="TableParagraph"/>
              <w:spacing w:before="127"/>
              <w:ind w:left="122" w:right="114" w:firstLine="1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Cost to </w:t>
            </w:r>
            <w:r>
              <w:rPr>
                <w:b/>
                <w:color w:val="FFFFFF"/>
                <w:spacing w:val="-2"/>
                <w:sz w:val="22"/>
              </w:rPr>
              <w:t>Implement</w:t>
            </w:r>
          </w:p>
        </w:tc>
        <w:tc>
          <w:tcPr>
            <w:tcW w:w="1351" w:type="dxa"/>
            <w:shd w:val="clear" w:color="auto" w:fill="44688F"/>
          </w:tcPr>
          <w:p>
            <w:pPr>
              <w:pStyle w:val="TableParagraph"/>
              <w:ind w:left="72" w:right="6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Estimated Annual</w:t>
            </w:r>
          </w:p>
          <w:p>
            <w:pPr>
              <w:pStyle w:val="TableParagraph"/>
              <w:spacing w:line="232" w:lineRule="exact"/>
              <w:ind w:left="72" w:right="6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Costs</w:t>
            </w:r>
          </w:p>
        </w:tc>
        <w:tc>
          <w:tcPr>
            <w:tcW w:w="1169" w:type="dxa"/>
            <w:shd w:val="clear" w:color="auto" w:fill="44688F"/>
          </w:tcPr>
          <w:p>
            <w:pPr>
              <w:pStyle w:val="TableParagraph"/>
              <w:spacing w:before="127"/>
              <w:ind w:left="158" w:right="151" w:firstLine="5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Annual Savings</w:t>
            </w:r>
          </w:p>
        </w:tc>
        <w:tc>
          <w:tcPr>
            <w:tcW w:w="1891" w:type="dxa"/>
            <w:shd w:val="clear" w:color="auto" w:fill="44688F"/>
          </w:tcPr>
          <w:p>
            <w:pPr>
              <w:pStyle w:val="TableParagraph"/>
              <w:spacing w:before="127"/>
              <w:ind w:left="143" w:firstLine="26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Water Use Reduction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(gal)</w:t>
            </w:r>
          </w:p>
        </w:tc>
        <w:tc>
          <w:tcPr>
            <w:tcW w:w="1709" w:type="dxa"/>
            <w:shd w:val="clear" w:color="auto" w:fill="44688F"/>
          </w:tcPr>
          <w:p>
            <w:pPr>
              <w:pStyle w:val="TableParagraph"/>
              <w:spacing w:before="252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Status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Replace old, water-cooled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52" w:lineRule="exact"/>
              <w:ind w:left="105" w:right="122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air-cooled </w:t>
            </w:r>
            <w:r>
              <w:rPr>
                <w:spacing w:val="-2"/>
                <w:sz w:val="22"/>
              </w:rPr>
              <w:t>condensers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$39,000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3" w:right="2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$900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$78,446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9,855,000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47"/>
              <w:rPr>
                <w:sz w:val="22"/>
              </w:rPr>
            </w:pPr>
            <w:r>
              <w:rPr>
                <w:sz w:val="22"/>
              </w:rPr>
              <w:t>Install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volumetric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shut-off valves on hose lines to fill barrels on the</w:t>
            </w:r>
          </w:p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production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floor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$13,547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6"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$6,773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$44,162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5,548,000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  <w:tr>
        <w:trPr>
          <w:trHeight w:val="1009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Install auto shut-off valves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tanks currently left running</w:t>
            </w:r>
          </w:p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overnight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$2,500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5"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$2,500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$10,169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1,277,500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Researching</w:t>
            </w:r>
          </w:p>
        </w:tc>
      </w:tr>
      <w:tr>
        <w:trPr>
          <w:trHeight w:val="580" w:hRule="atLeast"/>
        </w:trPr>
        <w:tc>
          <w:tcPr>
            <w:tcW w:w="2700" w:type="dxa"/>
          </w:tcPr>
          <w:p>
            <w:pPr>
              <w:pStyle w:val="TableParagraph"/>
              <w:spacing w:before="38"/>
              <w:ind w:left="105" w:right="122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brooms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sanitation of floors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5"/>
              <w:ind w:lef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$2,999</w:t>
            </w:r>
          </w:p>
        </w:tc>
        <w:tc>
          <w:tcPr>
            <w:tcW w:w="1351" w:type="dxa"/>
          </w:tcPr>
          <w:p>
            <w:pPr>
              <w:pStyle w:val="TableParagraph"/>
              <w:spacing w:before="165"/>
              <w:ind w:left="95"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$2,999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5"/>
              <w:ind w:left="7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$11,287</w:t>
            </w:r>
          </w:p>
        </w:tc>
        <w:tc>
          <w:tcPr>
            <w:tcW w:w="1891" w:type="dxa"/>
          </w:tcPr>
          <w:p>
            <w:pPr>
              <w:pStyle w:val="TableParagraph"/>
              <w:spacing w:before="165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1,418,025</w:t>
            </w:r>
          </w:p>
        </w:tc>
        <w:tc>
          <w:tcPr>
            <w:tcW w:w="1709" w:type="dxa"/>
          </w:tcPr>
          <w:p>
            <w:pPr>
              <w:pStyle w:val="TableParagraph"/>
              <w:spacing w:before="38"/>
              <w:ind w:left="410" w:hanging="36"/>
              <w:rPr>
                <w:sz w:val="22"/>
              </w:rPr>
            </w:pPr>
            <w:r>
              <w:rPr>
                <w:sz w:val="22"/>
              </w:rPr>
              <w:t>Trial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in-</w:t>
            </w:r>
            <w:r>
              <w:rPr>
                <w:spacing w:val="-2"/>
                <w:sz w:val="22"/>
              </w:rPr>
              <w:t>Progress</w:t>
            </w:r>
          </w:p>
        </w:tc>
      </w:tr>
      <w:tr>
        <w:trPr>
          <w:trHeight w:val="580" w:hRule="atLeast"/>
        </w:trPr>
        <w:tc>
          <w:tcPr>
            <w:tcW w:w="2700" w:type="dxa"/>
          </w:tcPr>
          <w:p>
            <w:pPr>
              <w:pStyle w:val="TableParagraph"/>
              <w:spacing w:before="38"/>
              <w:ind w:left="105" w:right="122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maintenance, fixing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leaky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valves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5"/>
              <w:ind w:left="69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65"/>
              <w:ind w:left="72" w:right="6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5"/>
              <w:ind w:left="7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$478</w:t>
            </w:r>
          </w:p>
        </w:tc>
        <w:tc>
          <w:tcPr>
            <w:tcW w:w="1891" w:type="dxa"/>
          </w:tcPr>
          <w:p>
            <w:pPr>
              <w:pStyle w:val="TableParagraph"/>
              <w:spacing w:before="165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60,000</w:t>
            </w:r>
          </w:p>
        </w:tc>
        <w:tc>
          <w:tcPr>
            <w:tcW w:w="1709" w:type="dxa"/>
          </w:tcPr>
          <w:p>
            <w:pPr>
              <w:pStyle w:val="TableParagraph"/>
              <w:spacing w:before="165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Extend the water changeover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apple machine tank from daily</w:t>
            </w:r>
          </w:p>
          <w:p>
            <w:pPr>
              <w:pStyle w:val="TableParagraph"/>
              <w:spacing w:line="232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2" w:right="6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0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$81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10,220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hoop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trash cans designed for the</w:t>
            </w:r>
          </w:p>
          <w:p>
            <w:pPr>
              <w:pStyle w:val="TableParagraph"/>
              <w:spacing w:line="252" w:lineRule="exact"/>
              <w:ind w:left="105" w:right="171"/>
              <w:rPr>
                <w:sz w:val="22"/>
              </w:rPr>
            </w:pPr>
            <w:r>
              <w:rPr>
                <w:sz w:val="22"/>
              </w:rPr>
              <w:t>production floor to reduce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dolly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wastage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$15,000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3"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$45,000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$58,540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570,313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</w:tbl>
    <w:p>
      <w:pPr>
        <w:pStyle w:val="Heading2"/>
        <w:spacing w:before="244"/>
      </w:pPr>
      <w:bookmarkStart w:name="Waste Output Projects" w:id="6"/>
      <w:bookmarkEnd w:id="6"/>
      <w:r>
        <w:rPr>
          <w:b w:val="0"/>
        </w:rPr>
      </w:r>
      <w:r>
        <w:rPr/>
        <w:t>Waste</w:t>
      </w:r>
      <w:r>
        <w:rPr>
          <w:spacing w:val="-10"/>
        </w:rPr>
        <w:t> </w:t>
      </w:r>
      <w:r>
        <w:rPr/>
        <w:t>Output</w:t>
      </w:r>
      <w:r>
        <w:rPr>
          <w:spacing w:val="-12"/>
        </w:rPr>
        <w:t> </w:t>
      </w:r>
      <w:r>
        <w:rPr>
          <w:spacing w:val="-2"/>
        </w:rPr>
        <w:t>Projects</w:t>
      </w:r>
    </w:p>
    <w:p>
      <w:pPr>
        <w:pStyle w:val="BodyText"/>
        <w:spacing w:line="259" w:lineRule="auto" w:before="118"/>
        <w:ind w:left="1440" w:right="977"/>
        <w:jc w:val="both"/>
      </w:pPr>
      <w:r>
        <w:rPr/>
        <w:t>The</w:t>
      </w:r>
      <w:r>
        <w:rPr>
          <w:spacing w:val="-3"/>
        </w:rPr>
        <w:t> </w:t>
      </w:r>
      <w:r>
        <w:rPr/>
        <w:t>WASI</w:t>
      </w:r>
      <w:r>
        <w:rPr>
          <w:spacing w:val="-3"/>
        </w:rPr>
        <w:t> </w:t>
      </w:r>
      <w:r>
        <w:rPr/>
        <w:t>intern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four</w:t>
      </w:r>
      <w:r>
        <w:rPr>
          <w:spacing w:val="-5"/>
        </w:rPr>
        <w:t> </w:t>
      </w:r>
      <w:r>
        <w:rPr/>
        <w:t>waste</w:t>
      </w:r>
      <w:r>
        <w:rPr>
          <w:spacing w:val="-3"/>
        </w:rPr>
        <w:t> </w:t>
      </w:r>
      <w:r>
        <w:rPr/>
        <w:t>reduction</w:t>
      </w:r>
      <w:r>
        <w:rPr>
          <w:spacing w:val="-4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save</w:t>
      </w:r>
      <w:r>
        <w:rPr>
          <w:spacing w:val="-3"/>
        </w:rPr>
        <w:t> </w:t>
      </w:r>
      <w:r>
        <w:rPr/>
        <w:t>Taylor</w:t>
      </w:r>
      <w:r>
        <w:rPr>
          <w:spacing w:val="-3"/>
        </w:rPr>
        <w:t> </w:t>
      </w:r>
      <w:r>
        <w:rPr/>
        <w:t>Farms</w:t>
      </w:r>
      <w:r>
        <w:rPr>
          <w:spacing w:val="-5"/>
        </w:rPr>
        <w:t> </w:t>
      </w:r>
      <w:r>
        <w:rPr/>
        <w:t>over</w:t>
      </w:r>
      <w:r>
        <w:rPr>
          <w:spacing w:val="-3"/>
        </w:rPr>
        <w:t> </w:t>
      </w:r>
      <w:r>
        <w:rPr/>
        <w:t>$286,000 annually if implemented. These projects had an ROI period between 1 month and 18 months.</w:t>
      </w:r>
    </w:p>
    <w:p>
      <w:pPr>
        <w:pStyle w:val="BodyText"/>
        <w:spacing w:line="259" w:lineRule="auto" w:before="160"/>
        <w:ind w:left="1440" w:right="1039"/>
        <w:jc w:val="both"/>
      </w:pPr>
      <w:r>
        <w:rPr/>
        <w:t>The top reduction opportunity</w:t>
      </w:r>
      <w:r>
        <w:rPr>
          <w:spacing w:val="-1"/>
        </w:rPr>
        <w:t> </w:t>
      </w:r>
      <w:r>
        <w:rPr/>
        <w:t>would be to install electric</w:t>
      </w:r>
      <w:r>
        <w:rPr>
          <w:spacing w:val="-1"/>
        </w:rPr>
        <w:t> </w:t>
      </w:r>
      <w:r>
        <w:rPr/>
        <w:t>hand dryers in bathrooms and hand wash stations</w:t>
      </w:r>
      <w:r>
        <w:rPr>
          <w:spacing w:val="-3"/>
        </w:rPr>
        <w:t> </w:t>
      </w:r>
      <w:r>
        <w:rPr/>
        <w:t>eliminating</w:t>
      </w:r>
      <w:r>
        <w:rPr>
          <w:spacing w:val="-3"/>
        </w:rPr>
        <w:t> </w:t>
      </w:r>
      <w:r>
        <w:rPr/>
        <w:t>single-use</w:t>
      </w:r>
      <w:r>
        <w:rPr>
          <w:spacing w:val="-4"/>
        </w:rPr>
        <w:t> </w:t>
      </w:r>
      <w:r>
        <w:rPr/>
        <w:t>paper</w:t>
      </w:r>
      <w:r>
        <w:rPr>
          <w:spacing w:val="-5"/>
        </w:rPr>
        <w:t> </w:t>
      </w:r>
      <w:r>
        <w:rPr/>
        <w:t>towels.</w:t>
      </w:r>
      <w:r>
        <w:rPr>
          <w:spacing w:val="-3"/>
        </w:rPr>
        <w:t> </w:t>
      </w:r>
      <w:r>
        <w:rPr/>
        <w:t>Eliminating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paper</w:t>
      </w:r>
      <w:r>
        <w:rPr>
          <w:spacing w:val="-5"/>
        </w:rPr>
        <w:t> </w:t>
      </w:r>
      <w:r>
        <w:rPr/>
        <w:t>towels</w:t>
      </w:r>
      <w:r>
        <w:rPr>
          <w:spacing w:val="-5"/>
        </w:rPr>
        <w:t> </w:t>
      </w:r>
      <w:r>
        <w:rPr/>
        <w:t>could</w:t>
      </w:r>
      <w:r>
        <w:rPr>
          <w:spacing w:val="-1"/>
        </w:rPr>
        <w:t> </w:t>
      </w:r>
      <w:r>
        <w:rPr/>
        <w:t>save</w:t>
      </w:r>
      <w:r>
        <w:rPr>
          <w:spacing w:val="-4"/>
        </w:rPr>
        <w:t> </w:t>
      </w:r>
      <w:r>
        <w:rPr/>
        <w:t>$14,000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year and eliminate 900,000 ft</w:t>
      </w:r>
      <w:r>
        <w:rPr>
          <w:vertAlign w:val="superscript"/>
        </w:rPr>
        <w:t>2</w:t>
      </w:r>
      <w:r>
        <w:rPr>
          <w:vertAlign w:val="baseline"/>
        </w:rPr>
        <w:t> of paper towels or approximately 40,000 lbs. of solid waste.</w:t>
      </w:r>
    </w:p>
    <w:p>
      <w:pPr>
        <w:pStyle w:val="BodyText"/>
        <w:spacing w:after="0" w:line="259" w:lineRule="auto"/>
        <w:jc w:val="both"/>
        <w:sectPr>
          <w:pgSz w:w="12240" w:h="15840"/>
          <w:pgMar w:top="640" w:bottom="280" w:left="0" w:right="0"/>
        </w:sectPr>
      </w:pPr>
    </w:p>
    <w:p>
      <w:pPr>
        <w:pStyle w:val="BodyText"/>
        <w:spacing w:before="39"/>
        <w:ind w:right="360"/>
        <w:jc w:val="center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4446</wp:posOffset>
                </wp:positionH>
                <wp:positionV relativeFrom="page">
                  <wp:posOffset>4246656</wp:posOffset>
                </wp:positionV>
                <wp:extent cx="7767955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6795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7955" h="38100">
                              <a:moveTo>
                                <a:pt x="7767953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767953" y="38100"/>
                              </a:lnTo>
                              <a:lnTo>
                                <a:pt x="7767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8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3501pt;margin-top:334.382416pt;width:611.6499pt;height:3pt;mso-position-horizontal-relative:page;mso-position-vertical-relative:page;z-index:15731712" id="docshape2" filled="true" fillcolor="#44688f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2:</w:t>
      </w:r>
      <w:r>
        <w:rPr>
          <w:b/>
          <w:spacing w:val="-1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waste</w:t>
      </w:r>
      <w:r>
        <w:rPr>
          <w:spacing w:val="-3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save</w:t>
      </w:r>
      <w:r>
        <w:rPr>
          <w:spacing w:val="-1"/>
        </w:rPr>
        <w:t> </w:t>
      </w:r>
      <w:r>
        <w:rPr/>
        <w:t>Taylor</w:t>
      </w:r>
      <w:r>
        <w:rPr>
          <w:spacing w:val="-1"/>
        </w:rPr>
        <w:t> </w:t>
      </w:r>
      <w:r>
        <w:rPr/>
        <w:t>Farms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$286,000</w:t>
      </w:r>
      <w:r>
        <w:rPr>
          <w:spacing w:val="-2"/>
        </w:rPr>
        <w:t> annually</w:t>
      </w:r>
      <w:r>
        <w:rPr>
          <w:i/>
          <w:color w:val="44536A"/>
          <w:spacing w:val="-2"/>
          <w:sz w:val="18"/>
        </w:rPr>
        <w:t>.</w:t>
      </w:r>
    </w:p>
    <w:p>
      <w:pPr>
        <w:pStyle w:val="BodyText"/>
        <w:spacing w:before="4"/>
        <w:rPr>
          <w:i/>
          <w:sz w:val="16"/>
        </w:rPr>
      </w:pPr>
    </w:p>
    <w:tbl>
      <w:tblPr>
        <w:tblW w:w="0" w:type="auto"/>
        <w:jc w:val="left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349"/>
        <w:gridCol w:w="1351"/>
        <w:gridCol w:w="1169"/>
        <w:gridCol w:w="1891"/>
        <w:gridCol w:w="1709"/>
      </w:tblGrid>
      <w:tr>
        <w:trPr>
          <w:trHeight w:val="760" w:hRule="atLeast"/>
        </w:trPr>
        <w:tc>
          <w:tcPr>
            <w:tcW w:w="2700" w:type="dxa"/>
            <w:shd w:val="clear" w:color="auto" w:fill="44688F"/>
          </w:tcPr>
          <w:p>
            <w:pPr>
              <w:pStyle w:val="TableParagraph"/>
              <w:spacing w:before="127"/>
              <w:ind w:left="943" w:right="122" w:hanging="55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Recommended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P2 </w:t>
            </w:r>
            <w:r>
              <w:rPr>
                <w:b/>
                <w:color w:val="FFFFFF"/>
                <w:spacing w:val="-2"/>
                <w:sz w:val="22"/>
              </w:rPr>
              <w:t>Actions</w:t>
            </w:r>
          </w:p>
        </w:tc>
        <w:tc>
          <w:tcPr>
            <w:tcW w:w="1349" w:type="dxa"/>
            <w:shd w:val="clear" w:color="auto" w:fill="44688F"/>
          </w:tcPr>
          <w:p>
            <w:pPr>
              <w:pStyle w:val="TableParagraph"/>
              <w:spacing w:before="127"/>
              <w:ind w:left="122" w:right="114" w:firstLine="1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Cost to </w:t>
            </w:r>
            <w:r>
              <w:rPr>
                <w:b/>
                <w:color w:val="FFFFFF"/>
                <w:spacing w:val="-2"/>
                <w:sz w:val="22"/>
              </w:rPr>
              <w:t>Implement</w:t>
            </w:r>
          </w:p>
        </w:tc>
        <w:tc>
          <w:tcPr>
            <w:tcW w:w="1351" w:type="dxa"/>
            <w:shd w:val="clear" w:color="auto" w:fill="44688F"/>
          </w:tcPr>
          <w:p>
            <w:pPr>
              <w:pStyle w:val="TableParagraph"/>
              <w:spacing w:line="252" w:lineRule="exact"/>
              <w:ind w:left="72" w:right="6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Estimated Annual </w:t>
            </w:r>
            <w:r>
              <w:rPr>
                <w:b/>
                <w:color w:val="FFFFFF"/>
                <w:spacing w:val="-4"/>
                <w:sz w:val="22"/>
              </w:rPr>
              <w:t>Costs</w:t>
            </w:r>
          </w:p>
        </w:tc>
        <w:tc>
          <w:tcPr>
            <w:tcW w:w="1169" w:type="dxa"/>
            <w:shd w:val="clear" w:color="auto" w:fill="44688F"/>
          </w:tcPr>
          <w:p>
            <w:pPr>
              <w:pStyle w:val="TableParagraph"/>
              <w:spacing w:before="127"/>
              <w:ind w:left="158" w:right="151" w:firstLine="50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Annual Savings</w:t>
            </w:r>
          </w:p>
        </w:tc>
        <w:tc>
          <w:tcPr>
            <w:tcW w:w="1891" w:type="dxa"/>
            <w:shd w:val="clear" w:color="auto" w:fill="44688F"/>
          </w:tcPr>
          <w:p>
            <w:pPr>
              <w:pStyle w:val="TableParagraph"/>
              <w:spacing w:before="127"/>
              <w:ind w:left="405" w:firstLine="213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Waste </w:t>
            </w:r>
            <w:r>
              <w:rPr>
                <w:b/>
                <w:color w:val="FFFFFF"/>
                <w:spacing w:val="-2"/>
                <w:sz w:val="22"/>
              </w:rPr>
              <w:t>Reduction</w:t>
            </w:r>
          </w:p>
        </w:tc>
        <w:tc>
          <w:tcPr>
            <w:tcW w:w="1709" w:type="dxa"/>
            <w:shd w:val="clear" w:color="auto" w:fill="44688F"/>
          </w:tcPr>
          <w:p>
            <w:pPr>
              <w:pStyle w:val="TableParagraph"/>
              <w:spacing w:before="254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Status</w:t>
            </w:r>
          </w:p>
        </w:tc>
      </w:tr>
      <w:tr>
        <w:trPr>
          <w:trHeight w:val="868" w:hRule="atLeast"/>
        </w:trPr>
        <w:tc>
          <w:tcPr>
            <w:tcW w:w="2700" w:type="dxa"/>
          </w:tcPr>
          <w:p>
            <w:pPr>
              <w:pStyle w:val="TableParagraph"/>
              <w:spacing w:before="55"/>
              <w:ind w:left="105" w:right="122"/>
              <w:rPr>
                <w:sz w:val="22"/>
              </w:rPr>
            </w:pPr>
            <w:r>
              <w:rPr>
                <w:sz w:val="22"/>
              </w:rPr>
              <w:t>Install hand dryers to replace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single-use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paper </w:t>
            </w:r>
            <w:r>
              <w:rPr>
                <w:spacing w:val="-2"/>
                <w:sz w:val="22"/>
              </w:rPr>
              <w:t>towels</w:t>
            </w:r>
          </w:p>
        </w:tc>
        <w:tc>
          <w:tcPr>
            <w:tcW w:w="1349" w:type="dxa"/>
          </w:tcPr>
          <w:p>
            <w:pPr>
              <w:pStyle w:val="TableParagraph"/>
              <w:spacing w:before="4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69" w:right="6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$19,705</w:t>
            </w:r>
          </w:p>
        </w:tc>
        <w:tc>
          <w:tcPr>
            <w:tcW w:w="1351" w:type="dxa"/>
          </w:tcPr>
          <w:p>
            <w:pPr>
              <w:pStyle w:val="TableParagraph"/>
              <w:spacing w:before="4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2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$1,330</w:t>
            </w:r>
          </w:p>
        </w:tc>
        <w:tc>
          <w:tcPr>
            <w:tcW w:w="1169" w:type="dxa"/>
          </w:tcPr>
          <w:p>
            <w:pPr>
              <w:pStyle w:val="TableParagraph"/>
              <w:spacing w:before="4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0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$14,400</w:t>
            </w:r>
          </w:p>
        </w:tc>
        <w:tc>
          <w:tcPr>
            <w:tcW w:w="1891" w:type="dxa"/>
          </w:tcPr>
          <w:p>
            <w:pPr>
              <w:pStyle w:val="TableParagraph"/>
              <w:spacing w:line="252" w:lineRule="exact" w:before="182"/>
              <w:ind w:left="9" w:right="2"/>
              <w:jc w:val="center"/>
              <w:rPr>
                <w:sz w:val="22"/>
              </w:rPr>
            </w:pPr>
            <w:r>
              <w:rPr>
                <w:sz w:val="22"/>
              </w:rPr>
              <w:t>900,000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ft</w:t>
            </w:r>
            <w:r>
              <w:rPr>
                <w:spacing w:val="-5"/>
                <w:sz w:val="22"/>
                <w:vertAlign w:val="superscript"/>
              </w:rPr>
              <w:t>2</w:t>
            </w:r>
          </w:p>
          <w:p>
            <w:pPr>
              <w:pStyle w:val="TableParagraph"/>
              <w:spacing w:line="252" w:lineRule="exact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paper</w:t>
            </w:r>
          </w:p>
        </w:tc>
        <w:tc>
          <w:tcPr>
            <w:tcW w:w="1709" w:type="dxa"/>
          </w:tcPr>
          <w:p>
            <w:pPr>
              <w:pStyle w:val="TableParagraph"/>
              <w:spacing w:before="4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In-</w:t>
            </w:r>
            <w:r>
              <w:rPr>
                <w:spacing w:val="-2"/>
                <w:sz w:val="22"/>
              </w:rPr>
              <w:t>progress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spacing w:before="2"/>
              <w:ind w:left="105" w:right="122"/>
              <w:rPr>
                <w:sz w:val="22"/>
              </w:rPr>
            </w:pPr>
            <w:r>
              <w:rPr>
                <w:sz w:val="22"/>
              </w:rPr>
              <w:t>Add trash cans to improve waste segregation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source</w:t>
            </w:r>
          </w:p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separation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69" w:right="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$3,000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2" w:right="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$9,000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0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$10,530</w:t>
            </w:r>
          </w:p>
        </w:tc>
        <w:tc>
          <w:tcPr>
            <w:tcW w:w="1891" w:type="dxa"/>
          </w:tcPr>
          <w:p>
            <w:pPr>
              <w:pStyle w:val="TableParagraph"/>
              <w:spacing w:line="252" w:lineRule="exact" w:before="254"/>
              <w:ind w:left="342"/>
              <w:rPr>
                <w:sz w:val="22"/>
              </w:rPr>
            </w:pPr>
            <w:r>
              <w:rPr>
                <w:sz w:val="22"/>
              </w:rPr>
              <w:t>117,000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lbs.</w:t>
            </w:r>
          </w:p>
          <w:p>
            <w:pPr>
              <w:pStyle w:val="TableParagraph"/>
              <w:spacing w:line="252" w:lineRule="exact"/>
              <w:ind w:left="344"/>
              <w:rPr>
                <w:sz w:val="22"/>
              </w:rPr>
            </w:pPr>
            <w:r>
              <w:rPr>
                <w:sz w:val="22"/>
              </w:rPr>
              <w:t>green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waste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Expand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contract w/ Republic Services - send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compostable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waste</w:t>
            </w:r>
          </w:p>
          <w:p>
            <w:pPr>
              <w:pStyle w:val="TableParagraph"/>
              <w:spacing w:line="232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wastewater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sludge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69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2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$64,800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0" w:right="6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$96,000</w:t>
            </w:r>
          </w:p>
        </w:tc>
        <w:tc>
          <w:tcPr>
            <w:tcW w:w="1891" w:type="dxa"/>
          </w:tcPr>
          <w:p>
            <w:pPr>
              <w:pStyle w:val="TableParagraph"/>
              <w:spacing w:before="127"/>
              <w:ind w:left="385" w:right="378" w:firstLine="2"/>
              <w:jc w:val="center"/>
              <w:rPr>
                <w:sz w:val="22"/>
              </w:rPr>
            </w:pPr>
            <w:r>
              <w:rPr>
                <w:sz w:val="22"/>
              </w:rPr>
              <w:t>10,008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lbs. </w:t>
            </w:r>
            <w:r>
              <w:rPr>
                <w:spacing w:val="-2"/>
                <w:sz w:val="22"/>
              </w:rPr>
              <w:t>wastewater sludge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2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1"/>
              <w:ind w:left="7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Researching</w:t>
            </w:r>
          </w:p>
        </w:tc>
      </w:tr>
      <w:tr>
        <w:trPr>
          <w:trHeight w:val="1012" w:hRule="atLeast"/>
        </w:trPr>
        <w:tc>
          <w:tcPr>
            <w:tcW w:w="2700" w:type="dxa"/>
          </w:tcPr>
          <w:p>
            <w:pPr>
              <w:pStyle w:val="TableParagraph"/>
              <w:ind w:left="105" w:right="122"/>
              <w:rPr>
                <w:sz w:val="22"/>
              </w:rPr>
            </w:pPr>
            <w:r>
              <w:rPr>
                <w:sz w:val="22"/>
              </w:rPr>
              <w:t>Expand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contract w/ K&amp;S Recycling to</w:t>
            </w:r>
          </w:p>
          <w:p>
            <w:pPr>
              <w:pStyle w:val="TableParagraph"/>
              <w:spacing w:line="252" w:lineRule="exact"/>
              <w:ind w:left="105" w:right="122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pallet film plastic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ind w:left="72" w:right="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$18,691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ind w:left="70" w:right="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$165,827</w:t>
            </w:r>
          </w:p>
        </w:tc>
        <w:tc>
          <w:tcPr>
            <w:tcW w:w="1891" w:type="dxa"/>
          </w:tcPr>
          <w:p>
            <w:pPr>
              <w:pStyle w:val="TableParagraph"/>
              <w:spacing w:line="252" w:lineRule="exact" w:before="254"/>
              <w:ind w:left="323"/>
              <w:rPr>
                <w:sz w:val="22"/>
              </w:rPr>
            </w:pPr>
            <w:r>
              <w:rPr>
                <w:sz w:val="22"/>
              </w:rPr>
              <w:t>3,900,000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ft</w:t>
            </w:r>
            <w:r>
              <w:rPr>
                <w:spacing w:val="-5"/>
                <w:sz w:val="22"/>
                <w:vertAlign w:val="superscript"/>
              </w:rPr>
              <w:t>2</w:t>
            </w:r>
          </w:p>
          <w:p>
            <w:pPr>
              <w:pStyle w:val="TableParagraph"/>
              <w:spacing w:line="252" w:lineRule="exact"/>
              <w:ind w:left="429"/>
              <w:rPr>
                <w:sz w:val="22"/>
              </w:rPr>
            </w:pPr>
            <w:r>
              <w:rPr>
                <w:sz w:val="22"/>
              </w:rPr>
              <w:t>plastic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film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0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Researching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1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2445499</wp:posOffset>
            </wp:positionH>
            <wp:positionV relativeFrom="paragraph">
              <wp:posOffset>298486</wp:posOffset>
            </wp:positionV>
            <wp:extent cx="2923123" cy="186918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123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743916</wp:posOffset>
            </wp:positionH>
            <wp:positionV relativeFrom="paragraph">
              <wp:posOffset>2357791</wp:posOffset>
            </wp:positionV>
            <wp:extent cx="1779336" cy="126568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336" cy="1265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5602162</wp:posOffset>
            </wp:positionH>
            <wp:positionV relativeFrom="paragraph">
              <wp:posOffset>2357791</wp:posOffset>
            </wp:positionV>
            <wp:extent cx="1208035" cy="141160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3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  <w:rPr>
          <w:i/>
          <w:sz w:val="20"/>
        </w:rPr>
      </w:pPr>
    </w:p>
    <w:sectPr>
      <w:pgSz w:w="12240" w:h="15840"/>
      <w:pgMar w:top="6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0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/>
      <w:ind w:left="1440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9"/>
      <w:ind w:left="1440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087" w:right="140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State Department of Ecology</dc:creator>
  <dc:description/>
  <cp:keywords>Short report template</cp:keywords>
  <dc:title>WASI Project: Water Usage and Waste Output Reduction</dc:title>
  <dcterms:created xsi:type="dcterms:W3CDTF">2026-03-04T22:36:50Z</dcterms:created>
  <dcterms:modified xsi:type="dcterms:W3CDTF">2026-03-04T22:36:50Z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0x0101009B0A72FFFEFAA04C8A8D5ED91B28E4E3</vt:lpwstr>
  </property>
  <property fmtid="{D5CDD505-2E9C-101B-9397-08002B2CF9AE}" pid="3" name="Created">
    <vt:filetime>2025-01-07T00:00:00Z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ba931802cd245af731ad3629fae3db146ddef5f12361e1430b4bdf241182a2c8</vt:lpwstr>
  </property>
  <property fmtid="{D5CDD505-2E9C-101B-9397-08002B2CF9AE}" pid="6" name="LastSaved">
    <vt:filetime>2026-03-04T00:00:00Z</vt:filetime>
  </property>
  <property fmtid="{D5CDD505-2E9C-101B-9397-08002B2CF9AE}" pid="7" name="Producer">
    <vt:lpwstr>Adobe PDF Library 24.5.96</vt:lpwstr>
  </property>
  <property fmtid="{D5CDD505-2E9C-101B-9397-08002B2CF9AE}" pid="8" name="SourceModified">
    <vt:lpwstr>D:20250107194224</vt:lpwstr>
  </property>
  <property fmtid="{D5CDD505-2E9C-101B-9397-08002B2CF9AE}" pid="9" name="_dlc_DocIdItemGuid">
    <vt:lpwstr>fb84408a-2452-4291-b08e-99a8dbaa0936</vt:lpwstr>
  </property>
</Properties>
</file>